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987C" w14:textId="584FDFA9" w:rsidR="00436D14" w:rsidRPr="00C76B4A" w:rsidRDefault="00436D14" w:rsidP="00436D14">
      <w:pPr>
        <w:widowControl w:val="0"/>
        <w:spacing w:line="360" w:lineRule="auto"/>
        <w:ind w:right="-164"/>
        <w:jc w:val="both"/>
        <w:rPr>
          <w:rFonts w:ascii="Palatino Linotype" w:hAnsi="Palatino Linotype" w:cs="Arial"/>
          <w:b/>
        </w:rPr>
      </w:pPr>
      <w:r>
        <w:rPr>
          <w:rFonts w:ascii="Palatino Linotype" w:hAnsi="Palatino Linotype" w:cs="Arial"/>
          <w:b/>
        </w:rPr>
        <w:t>OPINI</w:t>
      </w:r>
      <w:r w:rsidR="00875BD4">
        <w:rPr>
          <w:rFonts w:ascii="Palatino Linotype" w:hAnsi="Palatino Linotype" w:cs="Arial"/>
          <w:b/>
        </w:rPr>
        <w:t>Ó</w:t>
      </w:r>
      <w:r>
        <w:rPr>
          <w:rFonts w:ascii="Palatino Linotype" w:hAnsi="Palatino Linotype" w:cs="Arial"/>
          <w:b/>
        </w:rPr>
        <w:t>N</w:t>
      </w:r>
      <w:r w:rsidRPr="0007653D">
        <w:rPr>
          <w:rFonts w:ascii="Palatino Linotype" w:hAnsi="Palatino Linotype" w:cs="Arial"/>
          <w:b/>
        </w:rPr>
        <w:t xml:space="preserve"> PARTICULAR QUE FORMULA LA COMISIONADA EVA ABAID YAPUR, EN RELACIÓN CON LA RESOLUCIÓN DICTADA POR EL PLENO DEL INSTITUTO DE TRANSPARENCIA, ACCESO A LA INFORMACIÓN PÚBLICA Y PROTECCIÓN DE DATOS PERSONALES DEL ESTADO DE MÉXICO Y MUNICIPIOS, EN LA </w:t>
      </w:r>
      <w:r w:rsidR="00C76B4A">
        <w:rPr>
          <w:rFonts w:ascii="Palatino Linotype" w:hAnsi="Palatino Linotype" w:cs="Arial"/>
          <w:b/>
        </w:rPr>
        <w:t>CUADRAGÉSIMA</w:t>
      </w:r>
      <w:r>
        <w:rPr>
          <w:rFonts w:ascii="Palatino Linotype" w:hAnsi="Palatino Linotype" w:cs="Arial"/>
          <w:b/>
        </w:rPr>
        <w:t xml:space="preserve"> </w:t>
      </w:r>
      <w:r w:rsidRPr="0007653D">
        <w:rPr>
          <w:rFonts w:ascii="Palatino Linotype" w:hAnsi="Palatino Linotype" w:cs="Arial"/>
          <w:b/>
        </w:rPr>
        <w:t xml:space="preserve">SESIÓN ORDINARIA DE </w:t>
      </w:r>
      <w:r w:rsidR="00C76B4A">
        <w:rPr>
          <w:rFonts w:ascii="Palatino Linotype" w:hAnsi="Palatino Linotype" w:cs="Arial"/>
          <w:b/>
        </w:rPr>
        <w:t xml:space="preserve">TREINTA Y UNO DE OCTUBRE </w:t>
      </w:r>
      <w:r>
        <w:rPr>
          <w:rFonts w:ascii="Palatino Linotype" w:hAnsi="Palatino Linotype" w:cs="Arial"/>
          <w:b/>
        </w:rPr>
        <w:t>DE DOS MIL DIECIOCHO</w:t>
      </w:r>
      <w:r w:rsidRPr="0007653D">
        <w:rPr>
          <w:rFonts w:ascii="Palatino Linotype" w:hAnsi="Palatino Linotype" w:cs="Arial"/>
          <w:b/>
        </w:rPr>
        <w:t>, EN EL RECURSO DE REVISIÓN 0</w:t>
      </w:r>
      <w:r w:rsidR="00C76B4A">
        <w:rPr>
          <w:rFonts w:ascii="Palatino Linotype" w:hAnsi="Palatino Linotype" w:cs="Arial"/>
          <w:b/>
        </w:rPr>
        <w:t>3621</w:t>
      </w:r>
      <w:r>
        <w:rPr>
          <w:rFonts w:ascii="Palatino Linotype" w:hAnsi="Palatino Linotype" w:cs="Arial"/>
          <w:b/>
        </w:rPr>
        <w:t>/INFOEM/IP/RR/2018</w:t>
      </w:r>
      <w:r w:rsidRPr="00E42755">
        <w:rPr>
          <w:rFonts w:ascii="Palatino Linotype" w:eastAsia="Calibri" w:hAnsi="Palatino Linotype" w:cs="Arial"/>
          <w:b/>
          <w:color w:val="000000"/>
        </w:rPr>
        <w:t>.</w:t>
      </w:r>
    </w:p>
    <w:p w14:paraId="3E54B473" w14:textId="77777777" w:rsidR="00436D14" w:rsidRDefault="00436D14" w:rsidP="00436D14">
      <w:pPr>
        <w:widowControl w:val="0"/>
        <w:spacing w:line="360" w:lineRule="auto"/>
        <w:ind w:right="-164"/>
        <w:jc w:val="both"/>
        <w:rPr>
          <w:rFonts w:ascii="Palatino Linotype" w:hAnsi="Palatino Linotype" w:cs="Arial"/>
          <w:b/>
        </w:rPr>
      </w:pPr>
    </w:p>
    <w:p w14:paraId="529B6CBA" w14:textId="3F87C0FE" w:rsidR="00436D14" w:rsidRPr="00E42755" w:rsidRDefault="00436D14" w:rsidP="00436D14">
      <w:pPr>
        <w:spacing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00875BD4">
        <w:rPr>
          <w:rFonts w:ascii="Palatino Linotype" w:hAnsi="Palatino Linotype" w:cs="Arial"/>
          <w:b/>
        </w:rPr>
        <w:t>OPINIÓ</w:t>
      </w:r>
      <w:r>
        <w:rPr>
          <w:rFonts w:ascii="Palatino Linotype" w:hAnsi="Palatino Linotype" w:cs="Arial"/>
          <w:b/>
        </w:rPr>
        <w:t>N</w:t>
      </w:r>
      <w:r w:rsidRPr="00E42755">
        <w:rPr>
          <w:rFonts w:ascii="Palatino Linotype" w:hAnsi="Palatino Linotype" w:cs="Arial"/>
          <w:b/>
        </w:rPr>
        <w:t xml:space="preserve">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C76B4A">
        <w:rPr>
          <w:rFonts w:ascii="Palatino Linotype" w:eastAsia="Calibri" w:hAnsi="Palatino Linotype" w:cs="Arial"/>
          <w:b/>
          <w:color w:val="000000"/>
        </w:rPr>
        <w:t>3621</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w:t>
      </w:r>
      <w:r>
        <w:rPr>
          <w:rFonts w:ascii="Palatino Linotype" w:hAnsi="Palatino Linotype" w:cs="Arial"/>
        </w:rPr>
        <w:t>por el</w:t>
      </w:r>
      <w:r w:rsidRPr="00E42755">
        <w:rPr>
          <w:rFonts w:ascii="Palatino Linotype" w:hAnsi="Palatino Linotype" w:cs="Arial"/>
        </w:rPr>
        <w:t xml:space="preserve"> Comisionad</w:t>
      </w:r>
      <w:r>
        <w:rPr>
          <w:rFonts w:ascii="Palatino Linotype" w:hAnsi="Palatino Linotype" w:cs="Arial"/>
        </w:rPr>
        <w:t xml:space="preserve">o </w:t>
      </w:r>
      <w:r w:rsidR="00C76B4A">
        <w:rPr>
          <w:rFonts w:ascii="Palatino Linotype" w:hAnsi="Palatino Linotype" w:cs="Arial"/>
          <w:b/>
        </w:rPr>
        <w:t>LUIS GUSTAVO PARRA NORIEGA</w:t>
      </w:r>
      <w:r w:rsidRPr="0007653D">
        <w:rPr>
          <w:rFonts w:ascii="Palatino Linotype" w:hAnsi="Palatino Linotype" w:cs="Arial"/>
        </w:rPr>
        <w:t xml:space="preserve">, </w:t>
      </w:r>
      <w:r>
        <w:rPr>
          <w:rFonts w:ascii="Palatino Linotype" w:hAnsi="Palatino Linotype" w:cs="Arial"/>
        </w:rPr>
        <w:t>que es del tenor siguiente.</w:t>
      </w:r>
    </w:p>
    <w:p w14:paraId="2FA70A51" w14:textId="77777777" w:rsidR="00436D14" w:rsidRDefault="00436D14" w:rsidP="00436D14">
      <w:pPr>
        <w:spacing w:line="360" w:lineRule="auto"/>
        <w:jc w:val="both"/>
        <w:rPr>
          <w:rFonts w:ascii="Palatino Linotype" w:hAnsi="Palatino Linotype"/>
        </w:rPr>
      </w:pPr>
    </w:p>
    <w:p w14:paraId="36438ABC" w14:textId="0D9D4B22" w:rsidR="00436D14" w:rsidRPr="00875BD4" w:rsidRDefault="00436D14" w:rsidP="00436D14">
      <w:pPr>
        <w:spacing w:line="360" w:lineRule="auto"/>
        <w:jc w:val="both"/>
        <w:rPr>
          <w:rFonts w:ascii="Palatino Linotype" w:hAnsi="Palatino Linotype"/>
          <w:b/>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el particular </w:t>
      </w:r>
      <w:r>
        <w:rPr>
          <w:rFonts w:ascii="Palatino Linotype" w:hAnsi="Palatino Linotype"/>
        </w:rPr>
        <w:t xml:space="preserve">requirió del </w:t>
      </w:r>
      <w:r w:rsidRPr="00D8265C">
        <w:rPr>
          <w:rFonts w:ascii="Palatino Linotype" w:hAnsi="Palatino Linotype"/>
          <w:b/>
        </w:rPr>
        <w:t xml:space="preserve">Ayuntamiento de </w:t>
      </w:r>
      <w:r w:rsidR="005E0610" w:rsidRPr="005E0610">
        <w:rPr>
          <w:rFonts w:ascii="Palatino Linotype" w:hAnsi="Palatino Linotype"/>
          <w:b/>
        </w:rPr>
        <w:t>Ocoyoacac</w:t>
      </w:r>
      <w:r w:rsidR="00875BD4">
        <w:rPr>
          <w:rFonts w:ascii="Palatino Linotype" w:hAnsi="Palatino Linotype"/>
          <w:b/>
        </w:rPr>
        <w:t>,</w:t>
      </w:r>
      <w:r w:rsidRPr="005746BA">
        <w:rPr>
          <w:rFonts w:ascii="Palatino Linotype" w:hAnsi="Palatino Linotype"/>
        </w:rPr>
        <w:t xml:space="preserve"> en lo subsecuente </w:t>
      </w:r>
      <w:r w:rsidRPr="004A6ED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Pr>
          <w:rFonts w:ascii="Palatino Linotype" w:hAnsi="Palatino Linotype"/>
          <w:b/>
        </w:rPr>
        <w:t>,</w:t>
      </w:r>
      <w:r>
        <w:rPr>
          <w:rFonts w:ascii="Palatino Linotype" w:hAnsi="Palatino Linotype"/>
        </w:rPr>
        <w:t xml:space="preserve"> la información que a continuación se desagrega:</w:t>
      </w:r>
    </w:p>
    <w:p w14:paraId="582E28CF" w14:textId="77777777" w:rsidR="00436D14" w:rsidRDefault="00436D14" w:rsidP="00436D14">
      <w:pPr>
        <w:spacing w:line="360" w:lineRule="auto"/>
        <w:jc w:val="both"/>
        <w:rPr>
          <w:rFonts w:ascii="Palatino Linotype" w:hAnsi="Palatino Linotype"/>
        </w:rPr>
      </w:pPr>
    </w:p>
    <w:p w14:paraId="047D3209" w14:textId="79EBC27B" w:rsidR="00397910" w:rsidRPr="00397910" w:rsidRDefault="00397910" w:rsidP="00397910">
      <w:pPr>
        <w:pStyle w:val="Prrafodelista"/>
        <w:numPr>
          <w:ilvl w:val="0"/>
          <w:numId w:val="17"/>
        </w:numPr>
        <w:ind w:right="757"/>
        <w:jc w:val="both"/>
        <w:rPr>
          <w:rFonts w:ascii="Palatino Linotype" w:eastAsiaTheme="minorEastAsia" w:hAnsi="Palatino Linotype" w:cstheme="minorBidi"/>
          <w:i/>
          <w:sz w:val="22"/>
          <w:lang w:val="es-ES_tradnl"/>
        </w:rPr>
      </w:pPr>
      <w:r w:rsidRPr="00397910">
        <w:rPr>
          <w:rFonts w:ascii="Palatino Linotype" w:eastAsiaTheme="minorEastAsia" w:hAnsi="Palatino Linotype" w:cstheme="minorBidi"/>
          <w:i/>
          <w:sz w:val="22"/>
          <w:lang w:val="es-ES_tradnl"/>
        </w:rPr>
        <w:t>Cédula del inventario general de bienes muebles e inmuebles del Ayuntamiento, general y de bajo costo.</w:t>
      </w:r>
    </w:p>
    <w:p w14:paraId="78C98493" w14:textId="3E0FF029" w:rsidR="00436D14" w:rsidRPr="00397910" w:rsidRDefault="00397910" w:rsidP="00024A29">
      <w:pPr>
        <w:pStyle w:val="Prrafodelista"/>
        <w:numPr>
          <w:ilvl w:val="0"/>
          <w:numId w:val="17"/>
        </w:numPr>
        <w:ind w:right="757"/>
        <w:jc w:val="both"/>
        <w:rPr>
          <w:rFonts w:ascii="Palatino Linotype" w:eastAsiaTheme="minorEastAsia" w:hAnsi="Palatino Linotype" w:cstheme="minorBidi"/>
          <w:i/>
          <w:sz w:val="22"/>
          <w:lang w:val="es-ES_tradnl"/>
        </w:rPr>
      </w:pPr>
      <w:r w:rsidRPr="00397910">
        <w:rPr>
          <w:rFonts w:ascii="Palatino Linotype" w:eastAsiaTheme="minorEastAsia" w:hAnsi="Palatino Linotype" w:cstheme="minorBidi"/>
          <w:i/>
          <w:sz w:val="22"/>
          <w:lang w:val="es-ES_tradnl"/>
        </w:rPr>
        <w:t>Cédula de bienes inmuebles, con las firmas de los servidores públicos competentes, según los lineamientos para el registro y control del inventario, que se enviaron al OSFEM en los informes de los meses de junio y diciembre del año 2017 y junio de 2018.</w:t>
      </w:r>
    </w:p>
    <w:p w14:paraId="3FC59B63" w14:textId="354C8E33" w:rsidR="00436D14" w:rsidRDefault="00436D14" w:rsidP="00436D14">
      <w:pPr>
        <w:spacing w:line="360" w:lineRule="auto"/>
        <w:jc w:val="both"/>
        <w:rPr>
          <w:rFonts w:ascii="Palatino Linotype" w:hAnsi="Palatino Linotype" w:cs="Arial"/>
        </w:rPr>
      </w:pPr>
      <w:r>
        <w:rPr>
          <w:rFonts w:ascii="Palatino Linotype" w:hAnsi="Palatino Linotype" w:cs="Arial"/>
        </w:rPr>
        <w:lastRenderedPageBreak/>
        <w:t xml:space="preserve">De las constancias que obran dentro del expediente electrónico del Sistema de Acceso a la Información Mexiquense en lo sucesivo el </w:t>
      </w:r>
      <w:r w:rsidRPr="00674996">
        <w:rPr>
          <w:rFonts w:ascii="Palatino Linotype" w:hAnsi="Palatino Linotype" w:cs="Arial"/>
          <w:b/>
        </w:rPr>
        <w:t>SAIMEX</w:t>
      </w:r>
      <w:r>
        <w:rPr>
          <w:rFonts w:ascii="Palatino Linotype" w:hAnsi="Palatino Linotype" w:cs="Arial"/>
          <w:b/>
        </w:rPr>
        <w:t>,</w:t>
      </w:r>
      <w:r>
        <w:rPr>
          <w:rFonts w:ascii="Palatino Linotype" w:hAnsi="Palatino Linotype" w:cs="Arial"/>
        </w:rPr>
        <w:t xml:space="preserve"> se advierte que </w:t>
      </w:r>
      <w:r w:rsidRPr="00B57FE6">
        <w:rPr>
          <w:rFonts w:ascii="Palatino Linotype" w:hAnsi="Palatino Linotype" w:cs="Arial"/>
          <w:b/>
        </w:rPr>
        <w:t>EL SUJETO OBLIGADO</w:t>
      </w:r>
      <w:r>
        <w:rPr>
          <w:rFonts w:ascii="Palatino Linotype" w:hAnsi="Palatino Linotype" w:cs="Arial"/>
          <w:b/>
        </w:rPr>
        <w:t xml:space="preserve">, </w:t>
      </w:r>
      <w:r w:rsidR="00397910">
        <w:rPr>
          <w:rFonts w:ascii="Palatino Linotype" w:hAnsi="Palatino Linotype" w:cs="Arial"/>
        </w:rPr>
        <w:t>e</w:t>
      </w:r>
      <w:r w:rsidR="00397910" w:rsidRPr="00397910">
        <w:rPr>
          <w:rFonts w:ascii="Palatino Linotype" w:hAnsi="Palatino Linotype" w:cs="Arial"/>
        </w:rPr>
        <w:t>n respuesta</w:t>
      </w:r>
      <w:r w:rsidR="00397910">
        <w:rPr>
          <w:rFonts w:ascii="Palatino Linotype" w:hAnsi="Palatino Linotype" w:cs="Arial"/>
        </w:rPr>
        <w:t xml:space="preserve"> emitida a través del</w:t>
      </w:r>
      <w:r w:rsidR="00397910" w:rsidRPr="00397910">
        <w:rPr>
          <w:rFonts w:ascii="Palatino Linotype" w:hAnsi="Palatino Linotype" w:cs="Arial"/>
        </w:rPr>
        <w:t xml:space="preserve"> Titular de la Unidad de Transparencia del Sujeto Obligado, indicó que la información solicitada se encuentra disponible para su consulta en un sitito de Internet</w:t>
      </w:r>
      <w:r w:rsidR="00397910">
        <w:rPr>
          <w:rFonts w:ascii="Palatino Linotype" w:hAnsi="Palatino Linotype" w:cs="Arial"/>
        </w:rPr>
        <w:t>,</w:t>
      </w:r>
      <w:r w:rsidR="00397910" w:rsidRPr="00397910">
        <w:rPr>
          <w:rFonts w:ascii="Palatino Linotype" w:hAnsi="Palatino Linotype" w:cs="Arial"/>
        </w:rPr>
        <w:t xml:space="preserve"> proporcion</w:t>
      </w:r>
      <w:r w:rsidR="00397910">
        <w:rPr>
          <w:rFonts w:ascii="Palatino Linotype" w:hAnsi="Palatino Linotype" w:cs="Arial"/>
        </w:rPr>
        <w:t>ando</w:t>
      </w:r>
      <w:r w:rsidR="00397910" w:rsidRPr="00397910">
        <w:rPr>
          <w:rFonts w:ascii="Palatino Linotype" w:hAnsi="Palatino Linotype" w:cs="Arial"/>
        </w:rPr>
        <w:t xml:space="preserve"> al </w:t>
      </w:r>
      <w:r w:rsidR="00397910" w:rsidRPr="00397910">
        <w:rPr>
          <w:rFonts w:ascii="Palatino Linotype" w:hAnsi="Palatino Linotype" w:cs="Arial"/>
          <w:b/>
        </w:rPr>
        <w:t>RECURRENTE</w:t>
      </w:r>
      <w:r w:rsidR="00397910" w:rsidRPr="00397910">
        <w:rPr>
          <w:rFonts w:ascii="Palatino Linotype" w:hAnsi="Palatino Linotype" w:cs="Arial"/>
        </w:rPr>
        <w:t xml:space="preserve"> la dirección electrónica que corresponde al Portal de </w:t>
      </w:r>
      <w:r w:rsidR="00397910">
        <w:rPr>
          <w:rFonts w:ascii="Palatino Linotype" w:hAnsi="Palatino Linotype" w:cs="Arial"/>
        </w:rPr>
        <w:t xml:space="preserve">Información </w:t>
      </w:r>
      <w:r w:rsidR="00AC7F39">
        <w:rPr>
          <w:rFonts w:ascii="Palatino Linotype" w:hAnsi="Palatino Linotype" w:cs="Arial"/>
        </w:rPr>
        <w:t>Pública</w:t>
      </w:r>
      <w:r w:rsidR="00397910">
        <w:rPr>
          <w:rFonts w:ascii="Palatino Linotype" w:hAnsi="Palatino Linotype" w:cs="Arial"/>
        </w:rPr>
        <w:t xml:space="preserve"> de Oficio Mexiquense</w:t>
      </w:r>
      <w:r w:rsidR="00397910" w:rsidRPr="00397910">
        <w:rPr>
          <w:rFonts w:ascii="Palatino Linotype" w:hAnsi="Palatino Linotype" w:cs="Arial"/>
        </w:rPr>
        <w:t>, así como la forma de acceder al mismo.</w:t>
      </w:r>
    </w:p>
    <w:p w14:paraId="702B16BB" w14:textId="77777777" w:rsidR="00397910" w:rsidRDefault="00397910" w:rsidP="00436D14">
      <w:pPr>
        <w:spacing w:line="360" w:lineRule="auto"/>
        <w:jc w:val="both"/>
        <w:rPr>
          <w:rFonts w:ascii="Palatino Linotype" w:hAnsi="Palatino Linotype" w:cs="Arial"/>
        </w:rPr>
      </w:pPr>
    </w:p>
    <w:p w14:paraId="1AE6FFC8" w14:textId="7902E986" w:rsidR="00436D14" w:rsidRDefault="00397910" w:rsidP="00436D14">
      <w:pPr>
        <w:spacing w:line="360" w:lineRule="auto"/>
        <w:jc w:val="both"/>
        <w:rPr>
          <w:rFonts w:ascii="Palatino Linotype" w:hAnsi="Palatino Linotype" w:cs="Arial"/>
        </w:rPr>
      </w:pPr>
      <w:r>
        <w:rPr>
          <w:rFonts w:ascii="Palatino Linotype" w:hAnsi="Palatino Linotype" w:cs="Arial"/>
        </w:rPr>
        <w:t>Inconforme con la respuesta</w:t>
      </w:r>
      <w:r w:rsidR="00436D14">
        <w:rPr>
          <w:rFonts w:ascii="Palatino Linotype" w:hAnsi="Palatino Linotype" w:cs="Arial"/>
        </w:rPr>
        <w:t xml:space="preserve"> por parte del </w:t>
      </w:r>
      <w:r w:rsidR="00436D14" w:rsidRPr="00A95B15">
        <w:rPr>
          <w:rFonts w:ascii="Palatino Linotype" w:hAnsi="Palatino Linotype" w:cs="Arial"/>
          <w:b/>
        </w:rPr>
        <w:t>SUJETO OBLIGADO</w:t>
      </w:r>
      <w:r w:rsidR="00436D14">
        <w:rPr>
          <w:rFonts w:ascii="Palatino Linotype" w:hAnsi="Palatino Linotype" w:cs="Arial"/>
        </w:rPr>
        <w:t xml:space="preserve">, </w:t>
      </w:r>
      <w:r w:rsidR="00436D14" w:rsidRPr="005413CB">
        <w:rPr>
          <w:rFonts w:ascii="Palatino Linotype" w:hAnsi="Palatino Linotype" w:cs="Arial"/>
          <w:b/>
        </w:rPr>
        <w:t>EL RECURRENTE</w:t>
      </w:r>
      <w:r w:rsidR="00436D14">
        <w:rPr>
          <w:rFonts w:ascii="Palatino Linotype" w:hAnsi="Palatino Linotype" w:cs="Arial"/>
        </w:rPr>
        <w:t xml:space="preserve"> en la interposición del recurso de revisión de mérito, se inconformó toralmente por la </w:t>
      </w:r>
      <w:r>
        <w:rPr>
          <w:rFonts w:ascii="Palatino Linotype" w:hAnsi="Palatino Linotype" w:cs="Arial"/>
        </w:rPr>
        <w:t>entrega de información que no corresponde con lo solicitado</w:t>
      </w:r>
      <w:r w:rsidR="00436D14">
        <w:rPr>
          <w:rFonts w:ascii="Palatino Linotype" w:hAnsi="Palatino Linotype" w:cs="Arial"/>
        </w:rPr>
        <w:t>.</w:t>
      </w:r>
    </w:p>
    <w:p w14:paraId="2AEF54D4" w14:textId="77777777" w:rsidR="00436D14" w:rsidRDefault="00436D14" w:rsidP="00436D14">
      <w:pPr>
        <w:spacing w:line="360" w:lineRule="auto"/>
        <w:jc w:val="both"/>
        <w:rPr>
          <w:rFonts w:ascii="Palatino Linotype" w:hAnsi="Palatino Linotype" w:cs="Arial"/>
        </w:rPr>
      </w:pPr>
    </w:p>
    <w:p w14:paraId="3BDF133F" w14:textId="5EAE6425" w:rsidR="00397910" w:rsidRPr="00397910" w:rsidRDefault="00436D14" w:rsidP="00397910">
      <w:pPr>
        <w:spacing w:line="360" w:lineRule="auto"/>
        <w:jc w:val="both"/>
        <w:rPr>
          <w:rFonts w:ascii="Palatino Linotype" w:hAnsi="Palatino Linotype" w:cs="Arial"/>
        </w:rPr>
      </w:pPr>
      <w:r>
        <w:rPr>
          <w:rFonts w:ascii="Palatino Linotype" w:hAnsi="Palatino Linotype" w:cs="Arial"/>
        </w:rPr>
        <w:t xml:space="preserve">Atento a lo anterior, la Ponencia Resolutora determinó </w:t>
      </w:r>
      <w:r>
        <w:rPr>
          <w:rFonts w:ascii="Palatino Linotype" w:hAnsi="Palatino Linotype" w:cs="Arial"/>
          <w:b/>
        </w:rPr>
        <w:t>ORDENAR</w:t>
      </w:r>
      <w:r>
        <w:rPr>
          <w:rFonts w:ascii="Palatino Linotype" w:hAnsi="Palatino Linotype" w:cs="Arial"/>
        </w:rPr>
        <w:t xml:space="preserve"> al </w:t>
      </w:r>
      <w:r w:rsidRPr="00A95B15">
        <w:rPr>
          <w:rFonts w:ascii="Palatino Linotype" w:hAnsi="Palatino Linotype" w:cs="Arial"/>
          <w:b/>
        </w:rPr>
        <w:t>SUJETO OBLIGADO</w:t>
      </w:r>
      <w:r>
        <w:rPr>
          <w:rFonts w:ascii="Palatino Linotype" w:hAnsi="Palatino Linotype" w:cs="Arial"/>
        </w:rPr>
        <w:t xml:space="preserve"> haga entrega vía SAIMEX y en su caso en versión pública</w:t>
      </w:r>
      <w:r w:rsidR="00397910">
        <w:rPr>
          <w:rFonts w:ascii="Palatino Linotype" w:hAnsi="Palatino Linotype" w:cs="Arial"/>
        </w:rPr>
        <w:t>,</w:t>
      </w:r>
      <w:r>
        <w:rPr>
          <w:rFonts w:ascii="Palatino Linotype" w:hAnsi="Palatino Linotype" w:cs="Arial"/>
        </w:rPr>
        <w:t xml:space="preserve"> </w:t>
      </w:r>
      <w:r w:rsidR="00397910" w:rsidRPr="00397910">
        <w:rPr>
          <w:rFonts w:ascii="Palatino Linotype" w:hAnsi="Palatino Linotype" w:cs="Arial"/>
        </w:rPr>
        <w:t xml:space="preserve">previa </w:t>
      </w:r>
      <w:r w:rsidR="00397910" w:rsidRPr="00397910">
        <w:rPr>
          <w:rFonts w:ascii="Palatino Linotype" w:hAnsi="Palatino Linotype" w:cs="Arial"/>
          <w:b/>
        </w:rPr>
        <w:t>búsqueda exhaustiva y razonable</w:t>
      </w:r>
      <w:r w:rsidR="00397910" w:rsidRPr="00397910">
        <w:rPr>
          <w:rFonts w:ascii="Palatino Linotype" w:hAnsi="Palatino Linotype" w:cs="Arial"/>
        </w:rPr>
        <w:t xml:space="preserve">, en </w:t>
      </w:r>
      <w:r w:rsidR="00397910" w:rsidRPr="00397910">
        <w:rPr>
          <w:rFonts w:ascii="Palatino Linotype" w:hAnsi="Palatino Linotype" w:cs="Arial"/>
          <w:b/>
        </w:rPr>
        <w:t>todas</w:t>
      </w:r>
      <w:r w:rsidR="00397910" w:rsidRPr="00397910">
        <w:rPr>
          <w:rFonts w:ascii="Palatino Linotype" w:hAnsi="Palatino Linotype" w:cs="Arial"/>
        </w:rPr>
        <w:t xml:space="preserve"> las áreas competentes, entre las que </w:t>
      </w:r>
      <w:r w:rsidR="00397910" w:rsidRPr="00397910">
        <w:rPr>
          <w:rFonts w:ascii="Palatino Linotype" w:hAnsi="Palatino Linotype" w:cs="Arial"/>
          <w:b/>
        </w:rPr>
        <w:t>no podrá omitir a la Secretaría del Ayuntamiento</w:t>
      </w:r>
      <w:r w:rsidR="00397910" w:rsidRPr="00397910">
        <w:rPr>
          <w:rFonts w:ascii="Palatino Linotype" w:hAnsi="Palatino Linotype" w:cs="Arial"/>
        </w:rPr>
        <w:t xml:space="preserve">, </w:t>
      </w:r>
      <w:r w:rsidR="00397910">
        <w:rPr>
          <w:rFonts w:ascii="Palatino Linotype" w:hAnsi="Palatino Linotype" w:cs="Arial"/>
        </w:rPr>
        <w:t>la</w:t>
      </w:r>
      <w:r w:rsidR="00397910" w:rsidRPr="00397910">
        <w:rPr>
          <w:rFonts w:ascii="Palatino Linotype" w:hAnsi="Palatino Linotype" w:cs="Arial"/>
        </w:rPr>
        <w:t xml:space="preserve"> entrega del o los documentos donde conste lo siguiente:</w:t>
      </w:r>
    </w:p>
    <w:p w14:paraId="77F22728" w14:textId="77777777" w:rsidR="00397910" w:rsidRPr="00397910" w:rsidRDefault="00397910" w:rsidP="00397910">
      <w:pPr>
        <w:spacing w:line="360" w:lineRule="auto"/>
        <w:jc w:val="both"/>
        <w:rPr>
          <w:rFonts w:ascii="Palatino Linotype" w:hAnsi="Palatino Linotype" w:cs="Arial"/>
        </w:rPr>
      </w:pPr>
    </w:p>
    <w:p w14:paraId="50B19767" w14:textId="77777777" w:rsidR="00397910" w:rsidRPr="00397910" w:rsidRDefault="00397910" w:rsidP="00397910">
      <w:pPr>
        <w:ind w:left="709" w:right="757"/>
        <w:jc w:val="both"/>
        <w:rPr>
          <w:rFonts w:ascii="Palatino Linotype" w:hAnsi="Palatino Linotype" w:cs="Arial"/>
          <w:i/>
          <w:sz w:val="22"/>
        </w:rPr>
      </w:pPr>
      <w:r w:rsidRPr="00397910">
        <w:rPr>
          <w:rFonts w:ascii="Palatino Linotype" w:hAnsi="Palatino Linotype" w:cs="Arial"/>
          <w:i/>
          <w:sz w:val="22"/>
        </w:rPr>
        <w:t>Los inventarios general de bienes muebles e inmuebles, general y de bajo costo que se enviaron al OSFEM, correspondientes a los meses de junio y diciembre de dos mil diecisiete y junio de dos mil dieciocho, de acuerdo con lo solicitado por la ahora Recurrente.</w:t>
      </w:r>
    </w:p>
    <w:p w14:paraId="031985FC" w14:textId="77777777" w:rsidR="00FB481F" w:rsidRPr="00397910" w:rsidRDefault="00FB481F" w:rsidP="00397910">
      <w:pPr>
        <w:spacing w:line="360" w:lineRule="auto"/>
        <w:jc w:val="both"/>
        <w:rPr>
          <w:rFonts w:ascii="Palatino Linotype" w:hAnsi="Palatino Linotype" w:cs="Arial"/>
        </w:rPr>
      </w:pPr>
    </w:p>
    <w:p w14:paraId="72EAE93D" w14:textId="77777777" w:rsidR="00436D14" w:rsidRDefault="00436D14" w:rsidP="00436D14">
      <w:pPr>
        <w:spacing w:line="360" w:lineRule="auto"/>
        <w:jc w:val="both"/>
        <w:rPr>
          <w:rFonts w:ascii="Palatino Linotype" w:hAnsi="Palatino Linotype" w:cs="Arial"/>
        </w:rPr>
      </w:pPr>
      <w:r w:rsidRPr="004F3DBF">
        <w:rPr>
          <w:rFonts w:ascii="Palatino Linotype" w:hAnsi="Palatino Linotype" w:cs="Arial"/>
        </w:rPr>
        <w:t xml:space="preserve">En ese sentido, la que suscribe </w:t>
      </w:r>
      <w:r>
        <w:rPr>
          <w:rFonts w:ascii="Palatino Linotype" w:hAnsi="Palatino Linotype" w:cs="Arial"/>
        </w:rPr>
        <w:t xml:space="preserve">coincide con el proyecto en lo general, así como con el estudio de la resolución en comento, empero, estimo necesario precisar algunas </w:t>
      </w:r>
      <w:r>
        <w:rPr>
          <w:rFonts w:ascii="Palatino Linotype" w:hAnsi="Palatino Linotype" w:cs="Arial"/>
        </w:rPr>
        <w:lastRenderedPageBreak/>
        <w:t>consideraciones, a fin de reforzar el estudio del recurso de revisión de mérito y sustentar el sentido de la opinión que la suscrita emitió respecto del proyecto presentado por la Ponencia Resolutora ante el Pleno de este Instituto.</w:t>
      </w:r>
    </w:p>
    <w:p w14:paraId="3902C1A5" w14:textId="77777777" w:rsidR="00436D14" w:rsidRDefault="00436D14" w:rsidP="00436D14">
      <w:pPr>
        <w:spacing w:line="360" w:lineRule="auto"/>
        <w:jc w:val="both"/>
        <w:rPr>
          <w:rFonts w:ascii="Palatino Linotype" w:hAnsi="Palatino Linotype" w:cs="Arial"/>
        </w:rPr>
      </w:pPr>
    </w:p>
    <w:p w14:paraId="5974B1F8" w14:textId="40080C74" w:rsidR="00FB481F" w:rsidRPr="00FA1B0C" w:rsidRDefault="00436D14" w:rsidP="00FB481F">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cs="Arial"/>
        </w:rPr>
        <w:t>Lo anterior</w:t>
      </w:r>
      <w:r w:rsidR="00875BD4">
        <w:rPr>
          <w:rFonts w:ascii="Palatino Linotype" w:hAnsi="Palatino Linotype" w:cs="Arial"/>
        </w:rPr>
        <w:t>,</w:t>
      </w:r>
      <w:r>
        <w:rPr>
          <w:rFonts w:ascii="Palatino Linotype" w:hAnsi="Palatino Linotype" w:cs="Arial"/>
        </w:rPr>
        <w:t xml:space="preserve"> </w:t>
      </w:r>
      <w:r w:rsidR="00FB481F">
        <w:rPr>
          <w:rFonts w:ascii="Palatino Linotype" w:hAnsi="Palatino Linotype" w:cs="Arial"/>
        </w:rPr>
        <w:t xml:space="preserve">se entiende a partir de que se deje claro que </w:t>
      </w:r>
      <w:r w:rsidR="00FB481F" w:rsidRPr="00FA1B0C">
        <w:rPr>
          <w:rFonts w:ascii="Palatino Linotype" w:eastAsia="Arial Unicode MS" w:hAnsi="Palatino Linotype" w:cs="Arial"/>
        </w:rPr>
        <w:t xml:space="preserve">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w:t>
      </w:r>
      <w:r w:rsidR="00FB481F">
        <w:rPr>
          <w:rFonts w:ascii="Palatino Linotype" w:eastAsia="Arial Unicode MS" w:hAnsi="Palatino Linotype" w:cs="Arial"/>
        </w:rPr>
        <w:t>Sujetos Obligados</w:t>
      </w:r>
      <w:r w:rsidR="00FB481F" w:rsidRPr="00FA1B0C">
        <w:rPr>
          <w:rFonts w:ascii="Palatino Linotype" w:eastAsia="Arial Unicode MS" w:hAnsi="Palatino Linotype" w:cs="Arial"/>
        </w:rPr>
        <w:t xml:space="preserve">; los que podrán estar en cualquier medio, sea escrito, impreso, sonoro, visual, electrónico, informático u holográfico, de conformidad con el artículo 3, fracción XI de la Ley de la materia, el cual dispone lo siguiente: </w:t>
      </w:r>
    </w:p>
    <w:p w14:paraId="6CDC54AD" w14:textId="77777777" w:rsidR="00FB481F" w:rsidRPr="00FA1B0C" w:rsidRDefault="00FB481F" w:rsidP="00FB481F">
      <w:pPr>
        <w:widowControl w:val="0"/>
        <w:autoSpaceDE w:val="0"/>
        <w:autoSpaceDN w:val="0"/>
        <w:adjustRightInd w:val="0"/>
        <w:spacing w:line="360" w:lineRule="auto"/>
        <w:jc w:val="both"/>
        <w:rPr>
          <w:rFonts w:ascii="Palatino Linotype" w:eastAsia="Arial Unicode MS" w:hAnsi="Palatino Linotype" w:cs="Arial"/>
        </w:rPr>
      </w:pPr>
    </w:p>
    <w:p w14:paraId="5BA96C07" w14:textId="77777777" w:rsidR="00FB481F" w:rsidRPr="00FA1B0C" w:rsidRDefault="00FB481F" w:rsidP="002367F0">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A1B0C">
        <w:rPr>
          <w:rFonts w:ascii="Palatino Linotype" w:eastAsia="Arial Unicode MS" w:hAnsi="Palatino Linotype" w:cs="Arial"/>
          <w:i/>
          <w:sz w:val="22"/>
        </w:rPr>
        <w:t>“</w:t>
      </w:r>
      <w:r w:rsidRPr="00FA1B0C">
        <w:rPr>
          <w:rFonts w:ascii="Palatino Linotype" w:eastAsia="Arial Unicode MS" w:hAnsi="Palatino Linotype" w:cs="Arial"/>
          <w:b/>
          <w:i/>
          <w:sz w:val="22"/>
        </w:rPr>
        <w:t>Artículo 3</w:t>
      </w:r>
      <w:r w:rsidRPr="00FA1B0C">
        <w:rPr>
          <w:rFonts w:ascii="Palatino Linotype" w:eastAsia="Arial Unicode MS" w:hAnsi="Palatino Linotype" w:cs="Arial"/>
          <w:i/>
          <w:sz w:val="22"/>
        </w:rPr>
        <w:t>. Para los efectos de la presente Ley se entenderá por:</w:t>
      </w:r>
    </w:p>
    <w:p w14:paraId="0DA23A10" w14:textId="77777777" w:rsidR="00FB481F" w:rsidRDefault="00FB481F" w:rsidP="002367F0">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p>
    <w:p w14:paraId="239A3269" w14:textId="77777777" w:rsidR="00FB481F" w:rsidRPr="00FA1B0C" w:rsidRDefault="00FB481F" w:rsidP="002367F0">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A1B0C">
        <w:rPr>
          <w:rFonts w:ascii="Palatino Linotype" w:eastAsia="Arial Unicode MS" w:hAnsi="Palatino Linotype" w:cs="Arial"/>
          <w:i/>
          <w:sz w:val="22"/>
        </w:rPr>
        <w:t xml:space="preserve">XI. </w:t>
      </w:r>
      <w:r w:rsidRPr="00FA1B0C">
        <w:rPr>
          <w:rFonts w:ascii="Palatino Linotype" w:eastAsia="Arial Unicode MS" w:hAnsi="Palatino Linotype" w:cs="Arial"/>
          <w:b/>
          <w:i/>
          <w:sz w:val="22"/>
        </w:rPr>
        <w:t>Documento</w:t>
      </w:r>
      <w:r w:rsidRPr="00FA1B0C">
        <w:rPr>
          <w:rFonts w:ascii="Palatino Linotype" w:eastAsia="Arial Unicode MS" w:hAnsi="Palatino Linotype" w:cs="Arial"/>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w:t>
      </w:r>
      <w:r>
        <w:rPr>
          <w:rFonts w:ascii="Palatino Linotype" w:eastAsia="Arial Unicode MS" w:hAnsi="Palatino Linotype" w:cs="Arial"/>
          <w:i/>
          <w:sz w:val="22"/>
        </w:rPr>
        <w:t>Sujetos Obligados</w:t>
      </w:r>
      <w:r w:rsidRPr="00FA1B0C">
        <w:rPr>
          <w:rFonts w:ascii="Palatino Linotype" w:eastAsia="Arial Unicode MS" w:hAnsi="Palatino Linotype" w:cs="Arial"/>
          <w:i/>
          <w:sz w:val="22"/>
        </w:rPr>
        <w:t>, sus servidores públicos e integrantes, sin importar su fuente o fecha de elaboración. Los documentos podrán estar en cualquier medio, sea escrito, impreso, sonoro, visual, electrónico, informático u holográfico;”</w:t>
      </w:r>
    </w:p>
    <w:p w14:paraId="6D8C9B44" w14:textId="77777777" w:rsidR="00FB481F" w:rsidRPr="00FA1B0C" w:rsidRDefault="00FB481F" w:rsidP="00FB481F">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462D7797" w14:textId="77777777" w:rsidR="00FB481F" w:rsidRDefault="00FB481F" w:rsidP="00FB481F">
      <w:pPr>
        <w:widowControl w:val="0"/>
        <w:autoSpaceDE w:val="0"/>
        <w:autoSpaceDN w:val="0"/>
        <w:adjustRightInd w:val="0"/>
        <w:spacing w:line="360" w:lineRule="auto"/>
        <w:jc w:val="both"/>
        <w:rPr>
          <w:rFonts w:ascii="Palatino Linotype" w:eastAsia="Arial Unicode MS" w:hAnsi="Palatino Linotype" w:cs="Arial"/>
        </w:rPr>
      </w:pPr>
      <w:r w:rsidRPr="00FA1B0C">
        <w:rPr>
          <w:rFonts w:ascii="Palatino Linotype" w:eastAsia="Arial Unicode MS" w:hAnsi="Palatino Linotype" w:cs="Arial"/>
        </w:rPr>
        <w:t xml:space="preserve">Siendo aplicable, el criterio de interpretación en el orden administrativo número 0002-11, emitido por Acuerdo del Pleno del Instituto de Transparencia y Acceso a la </w:t>
      </w:r>
      <w:r w:rsidRPr="00FA1B0C">
        <w:rPr>
          <w:rFonts w:ascii="Palatino Linotype" w:eastAsia="Arial Unicode MS" w:hAnsi="Palatino Linotype" w:cs="Arial"/>
        </w:rPr>
        <w:lastRenderedPageBreak/>
        <w:t>Información Pública del Estado de México y Municipios, publicado en el Periódico Oficial del Gobierno del Estado Libre y Soberano de México “Gaceta del Gobierno” el diecinueve de octubre de dos mil once, cuyo rubro y texto dispone:</w:t>
      </w:r>
    </w:p>
    <w:p w14:paraId="5951A74F" w14:textId="77777777" w:rsidR="00FB481F" w:rsidRPr="00FA1B0C" w:rsidRDefault="00FB481F" w:rsidP="00FB481F">
      <w:pPr>
        <w:widowControl w:val="0"/>
        <w:autoSpaceDE w:val="0"/>
        <w:autoSpaceDN w:val="0"/>
        <w:adjustRightInd w:val="0"/>
        <w:spacing w:line="360" w:lineRule="auto"/>
        <w:jc w:val="both"/>
        <w:rPr>
          <w:rFonts w:ascii="Palatino Linotype" w:eastAsia="Arial Unicode MS" w:hAnsi="Palatino Linotype" w:cs="Arial"/>
        </w:rPr>
      </w:pPr>
    </w:p>
    <w:p w14:paraId="2C8C582B" w14:textId="77777777" w:rsidR="00FB481F" w:rsidRDefault="00FB481F" w:rsidP="002367F0">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A1B0C">
        <w:rPr>
          <w:rFonts w:ascii="Palatino Linotype" w:eastAsia="Arial Unicode MS" w:hAnsi="Palatino Linotype" w:cs="Arial"/>
          <w:i/>
          <w:sz w:val="22"/>
        </w:rPr>
        <w:t>“</w:t>
      </w:r>
      <w:r w:rsidRPr="00FB35CE">
        <w:rPr>
          <w:rFonts w:ascii="Palatino Linotype" w:eastAsia="Arial Unicode MS" w:hAnsi="Palatino Linotype" w:cs="Arial"/>
          <w:b/>
          <w:i/>
          <w:sz w:val="22"/>
        </w:rPr>
        <w:t>CRITERIO 0002-11 INFORMACIÓN PÚBLICA, CONCEPTO DE, EN MATERIA DE TRANSPARENCIA. INTERPRETACIÓN SISTEMÁTICA DE LOS ARTÍCULOS 2°, FRACCIÓN V, XV, Y XVI, 3°, 4°, 11 Y 41</w:t>
      </w:r>
      <w:r w:rsidRPr="00FA1B0C">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1F34A0" w14:textId="77777777" w:rsidR="00FB481F" w:rsidRPr="00FA1B0C" w:rsidRDefault="00FB481F" w:rsidP="002367F0">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0B32B126" w14:textId="77777777" w:rsidR="00FB481F" w:rsidRDefault="00FB481F" w:rsidP="002367F0">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A1B0C">
        <w:rPr>
          <w:rFonts w:ascii="Palatino Linotype" w:eastAsia="Arial Unicode MS" w:hAnsi="Palatino Linotype" w:cs="Arial"/>
          <w:i/>
          <w:sz w:val="22"/>
        </w:rPr>
        <w:t>En consecuencia el acceso a la información se refiere a que se cumplan cualquiera de los siguientes tres supuestos:</w:t>
      </w:r>
    </w:p>
    <w:p w14:paraId="32C2BC2C" w14:textId="77777777" w:rsidR="00FB481F" w:rsidRPr="00FA1B0C" w:rsidRDefault="00FB481F" w:rsidP="002367F0">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73B9B4C1" w14:textId="77777777" w:rsidR="00FB481F" w:rsidRPr="00FA1B0C" w:rsidRDefault="00FB481F" w:rsidP="002367F0">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A1B0C">
        <w:rPr>
          <w:rFonts w:ascii="Palatino Linotype" w:eastAsia="Arial Unicode MS" w:hAnsi="Palatino Linotype" w:cs="Arial"/>
          <w:i/>
          <w:sz w:val="22"/>
        </w:rPr>
        <w:t xml:space="preserve">1) Que se trate de información registrada en cualquier soporte documental, que en ejercicio de las atribuciones conferidas, sea generada por los </w:t>
      </w:r>
      <w:r>
        <w:rPr>
          <w:rFonts w:ascii="Palatino Linotype" w:eastAsia="Arial Unicode MS" w:hAnsi="Palatino Linotype" w:cs="Arial"/>
          <w:i/>
          <w:sz w:val="22"/>
        </w:rPr>
        <w:t>Sujetos Obligados</w:t>
      </w:r>
      <w:r w:rsidRPr="00FA1B0C">
        <w:rPr>
          <w:rFonts w:ascii="Palatino Linotype" w:eastAsia="Arial Unicode MS" w:hAnsi="Palatino Linotype" w:cs="Arial"/>
          <w:i/>
          <w:sz w:val="22"/>
        </w:rPr>
        <w:t>;</w:t>
      </w:r>
    </w:p>
    <w:p w14:paraId="73F451D8" w14:textId="77777777" w:rsidR="00FB481F" w:rsidRPr="00FA1B0C" w:rsidRDefault="00FB481F" w:rsidP="002367F0">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A1B0C">
        <w:rPr>
          <w:rFonts w:ascii="Palatino Linotype" w:eastAsia="Arial Unicode MS" w:hAnsi="Palatino Linotype" w:cs="Arial"/>
          <w:i/>
          <w:sz w:val="22"/>
        </w:rPr>
        <w:t xml:space="preserve">2) Que se trate de información registrada en cualquier soporte documental, que en ejercicio de las atribuciones conferidas, sea administrada por los </w:t>
      </w:r>
      <w:r>
        <w:rPr>
          <w:rFonts w:ascii="Palatino Linotype" w:eastAsia="Arial Unicode MS" w:hAnsi="Palatino Linotype" w:cs="Arial"/>
          <w:i/>
          <w:sz w:val="22"/>
        </w:rPr>
        <w:t>Sujetos Obligados</w:t>
      </w:r>
      <w:r w:rsidRPr="00FA1B0C">
        <w:rPr>
          <w:rFonts w:ascii="Palatino Linotype" w:eastAsia="Arial Unicode MS" w:hAnsi="Palatino Linotype" w:cs="Arial"/>
          <w:i/>
          <w:sz w:val="22"/>
        </w:rPr>
        <w:t>, y</w:t>
      </w:r>
    </w:p>
    <w:p w14:paraId="0E78CB35" w14:textId="77777777" w:rsidR="00FB481F" w:rsidRPr="00FA1B0C" w:rsidRDefault="00FB481F" w:rsidP="002367F0">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A1B0C">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w:t>
      </w:r>
      <w:r>
        <w:rPr>
          <w:rFonts w:ascii="Palatino Linotype" w:eastAsia="Arial Unicode MS" w:hAnsi="Palatino Linotype" w:cs="Arial"/>
          <w:i/>
          <w:sz w:val="22"/>
        </w:rPr>
        <w:t>Sujetos Obligados</w:t>
      </w:r>
      <w:r w:rsidRPr="00FA1B0C">
        <w:rPr>
          <w:rFonts w:ascii="Palatino Linotype" w:eastAsia="Arial Unicode MS" w:hAnsi="Palatino Linotype" w:cs="Arial"/>
          <w:i/>
          <w:sz w:val="22"/>
        </w:rPr>
        <w:t xml:space="preserve">.” </w:t>
      </w:r>
      <w:r w:rsidRPr="00FA1B0C">
        <w:rPr>
          <w:rFonts w:ascii="Palatino Linotype" w:eastAsia="Arial Unicode MS" w:hAnsi="Palatino Linotype" w:cs="Arial"/>
          <w:sz w:val="22"/>
        </w:rPr>
        <w:t>(Sic)</w:t>
      </w:r>
    </w:p>
    <w:p w14:paraId="4B1855F1" w14:textId="77777777" w:rsidR="00FB481F" w:rsidRPr="00FA1B0C" w:rsidRDefault="00FB481F" w:rsidP="002367F0">
      <w:pPr>
        <w:widowControl w:val="0"/>
        <w:autoSpaceDE w:val="0"/>
        <w:autoSpaceDN w:val="0"/>
        <w:adjustRightInd w:val="0"/>
        <w:spacing w:line="276" w:lineRule="auto"/>
        <w:ind w:left="709" w:right="757"/>
        <w:jc w:val="both"/>
        <w:rPr>
          <w:rFonts w:ascii="Palatino Linotype" w:eastAsia="Arial Unicode MS" w:hAnsi="Palatino Linotype" w:cs="Arial"/>
          <w:sz w:val="22"/>
        </w:rPr>
      </w:pPr>
    </w:p>
    <w:p w14:paraId="7FA5E666" w14:textId="77777777" w:rsidR="00FB481F" w:rsidRPr="00FA1B0C" w:rsidRDefault="00FB481F" w:rsidP="002367F0">
      <w:pPr>
        <w:widowControl w:val="0"/>
        <w:autoSpaceDE w:val="0"/>
        <w:autoSpaceDN w:val="0"/>
        <w:adjustRightInd w:val="0"/>
        <w:spacing w:line="276" w:lineRule="auto"/>
        <w:ind w:left="709" w:right="757"/>
        <w:jc w:val="both"/>
        <w:rPr>
          <w:rFonts w:ascii="Palatino Linotype" w:eastAsia="Arial Unicode MS" w:hAnsi="Palatino Linotype" w:cs="Arial"/>
          <w:sz w:val="22"/>
        </w:rPr>
      </w:pPr>
      <w:r w:rsidRPr="00FA1B0C">
        <w:rPr>
          <w:rFonts w:ascii="Palatino Linotype" w:eastAsia="Arial Unicode MS" w:hAnsi="Palatino Linotype" w:cs="Arial"/>
          <w:sz w:val="22"/>
        </w:rPr>
        <w:t>(Énfasis Añadido)</w:t>
      </w:r>
    </w:p>
    <w:p w14:paraId="1A84CDD2" w14:textId="77777777" w:rsidR="00FB481F" w:rsidRDefault="00FB481F" w:rsidP="00FB481F">
      <w:pPr>
        <w:widowControl w:val="0"/>
        <w:autoSpaceDE w:val="0"/>
        <w:autoSpaceDN w:val="0"/>
        <w:adjustRightInd w:val="0"/>
        <w:spacing w:line="360" w:lineRule="auto"/>
        <w:jc w:val="both"/>
        <w:rPr>
          <w:rFonts w:ascii="Palatino Linotype" w:eastAsia="Arial Unicode MS" w:hAnsi="Palatino Linotype" w:cs="Arial"/>
        </w:rPr>
      </w:pPr>
    </w:p>
    <w:p w14:paraId="3397BA33" w14:textId="5D2815BB" w:rsidR="00FB481F" w:rsidRDefault="00FB481F" w:rsidP="00FB481F">
      <w:pPr>
        <w:spacing w:line="360" w:lineRule="auto"/>
        <w:jc w:val="both"/>
        <w:rPr>
          <w:rFonts w:ascii="Palatino Linotype" w:eastAsia="Arial Unicode MS" w:hAnsi="Palatino Linotype" w:cs="Arial"/>
        </w:rPr>
      </w:pPr>
      <w:r>
        <w:rPr>
          <w:rFonts w:ascii="Palatino Linotype" w:eastAsia="Arial Unicode MS" w:hAnsi="Palatino Linotype" w:cs="Arial"/>
        </w:rPr>
        <w:t>En este contexto podemos afirmar entonces que el derecho de acceso a la información del ciudadano se verá colmado una vez que éste cuente con los documentos requeridos a través de su solicitud.</w:t>
      </w:r>
    </w:p>
    <w:p w14:paraId="532C14D5" w14:textId="77777777" w:rsidR="00FB481F" w:rsidRDefault="00FB481F" w:rsidP="00FB481F">
      <w:pPr>
        <w:spacing w:line="360" w:lineRule="auto"/>
        <w:jc w:val="both"/>
        <w:rPr>
          <w:rFonts w:ascii="Palatino Linotype" w:eastAsia="Arial Unicode MS" w:hAnsi="Palatino Linotype" w:cs="Arial"/>
        </w:rPr>
      </w:pPr>
    </w:p>
    <w:p w14:paraId="65EDE9A0" w14:textId="7136BE6C" w:rsidR="00FB481F" w:rsidRPr="00096648" w:rsidRDefault="00FB481F" w:rsidP="00FB481F">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otra parte</w:t>
      </w:r>
      <w:r w:rsidRPr="00096648">
        <w:rPr>
          <w:rFonts w:ascii="Palatino Linotype" w:hAnsi="Palatino Linotype" w:cs="Arial"/>
        </w:rPr>
        <w:t>,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w:t>
      </w:r>
      <w:r>
        <w:rPr>
          <w:rFonts w:ascii="Palatino Linotype" w:hAnsi="Palatino Linotype" w:cs="Arial"/>
        </w:rPr>
        <w:t>,</w:t>
      </w:r>
      <w:r w:rsidRPr="00096648">
        <w:rPr>
          <w:rFonts w:ascii="Palatino Linotype" w:hAnsi="Palatino Linotype" w:cs="Arial"/>
        </w:rPr>
        <w:t xml:space="preserve"> fracción XXXIX y 59</w:t>
      </w:r>
      <w:r>
        <w:rPr>
          <w:rFonts w:ascii="Palatino Linotype" w:hAnsi="Palatino Linotype" w:cs="Arial"/>
        </w:rPr>
        <w:t>,</w:t>
      </w:r>
      <w:r w:rsidRPr="00096648">
        <w:rPr>
          <w:rFonts w:ascii="Palatino Linotype" w:hAnsi="Palatino Linotype" w:cs="Arial"/>
        </w:rPr>
        <w:t xml:space="preserve"> fracciones I, II y III, mismos que se transcriben a continuación:</w:t>
      </w:r>
    </w:p>
    <w:p w14:paraId="73288E51" w14:textId="77777777" w:rsidR="00FB481F" w:rsidRPr="00096648" w:rsidRDefault="00FB481F" w:rsidP="00FB481F">
      <w:pPr>
        <w:pStyle w:val="Prrafodelista"/>
        <w:widowControl w:val="0"/>
        <w:autoSpaceDE w:val="0"/>
        <w:autoSpaceDN w:val="0"/>
        <w:adjustRightInd w:val="0"/>
        <w:spacing w:line="360" w:lineRule="auto"/>
        <w:ind w:left="0"/>
        <w:jc w:val="both"/>
        <w:rPr>
          <w:rFonts w:ascii="Palatino Linotype" w:hAnsi="Palatino Linotype" w:cs="Arial"/>
        </w:rPr>
      </w:pPr>
    </w:p>
    <w:p w14:paraId="75E8A88B" w14:textId="77777777" w:rsidR="00FB481F" w:rsidRPr="00096648" w:rsidRDefault="00FB481F" w:rsidP="002367F0">
      <w:pPr>
        <w:spacing w:line="276" w:lineRule="auto"/>
        <w:ind w:left="709" w:right="757"/>
        <w:jc w:val="both"/>
        <w:rPr>
          <w:rFonts w:ascii="Palatino Linotype" w:hAnsi="Palatino Linotype" w:cs="Arial"/>
          <w:i/>
          <w:sz w:val="22"/>
        </w:rPr>
      </w:pPr>
      <w:r w:rsidRPr="00096648">
        <w:rPr>
          <w:rFonts w:ascii="Palatino Linotype" w:hAnsi="Palatino Linotype" w:cs="Arial"/>
          <w:b/>
          <w:i/>
          <w:sz w:val="22"/>
        </w:rPr>
        <w:t>“Artículo 3</w:t>
      </w:r>
      <w:r w:rsidRPr="00096648">
        <w:rPr>
          <w:rFonts w:ascii="Palatino Linotype" w:hAnsi="Palatino Linotype" w:cs="Arial"/>
          <w:i/>
          <w:sz w:val="22"/>
        </w:rPr>
        <w:t xml:space="preserve">. </w:t>
      </w:r>
      <w:r w:rsidRPr="00096648">
        <w:rPr>
          <w:rFonts w:ascii="Palatino Linotype" w:hAnsi="Palatino Linotype" w:cs="Arial"/>
          <w:b/>
          <w:i/>
          <w:sz w:val="22"/>
        </w:rPr>
        <w:t>Para los efectos de la presente Ley se entenderá por</w:t>
      </w:r>
      <w:r w:rsidRPr="00096648">
        <w:rPr>
          <w:rFonts w:ascii="Palatino Linotype" w:hAnsi="Palatino Linotype" w:cs="Arial"/>
          <w:i/>
          <w:sz w:val="22"/>
        </w:rPr>
        <w:t xml:space="preserve">: </w:t>
      </w:r>
    </w:p>
    <w:p w14:paraId="7996C4B8" w14:textId="77777777" w:rsidR="00FB481F" w:rsidRPr="00096648" w:rsidRDefault="00FB481F" w:rsidP="002367F0">
      <w:pPr>
        <w:spacing w:line="276" w:lineRule="auto"/>
        <w:ind w:left="709" w:right="757"/>
        <w:jc w:val="both"/>
        <w:rPr>
          <w:rFonts w:ascii="Palatino Linotype" w:hAnsi="Palatino Linotype" w:cs="Arial"/>
          <w:i/>
          <w:sz w:val="22"/>
        </w:rPr>
      </w:pPr>
      <w:r w:rsidRPr="00096648">
        <w:rPr>
          <w:rFonts w:ascii="Palatino Linotype" w:hAnsi="Palatino Linotype" w:cs="Arial"/>
          <w:i/>
          <w:sz w:val="22"/>
        </w:rPr>
        <w:t>…</w:t>
      </w:r>
    </w:p>
    <w:p w14:paraId="2805BA29" w14:textId="77777777" w:rsidR="00FB481F" w:rsidRPr="00096648" w:rsidRDefault="00FB481F" w:rsidP="002367F0">
      <w:pPr>
        <w:spacing w:line="276" w:lineRule="auto"/>
        <w:ind w:left="709" w:right="757"/>
        <w:jc w:val="both"/>
        <w:rPr>
          <w:rFonts w:ascii="Palatino Linotype" w:hAnsi="Palatino Linotype" w:cs="Arial"/>
          <w:i/>
          <w:sz w:val="22"/>
        </w:rPr>
      </w:pPr>
      <w:r w:rsidRPr="00096648">
        <w:rPr>
          <w:rFonts w:ascii="Palatino Linotype" w:hAnsi="Palatino Linotype" w:cs="Arial"/>
          <w:b/>
          <w:i/>
          <w:sz w:val="22"/>
        </w:rPr>
        <w:t>XXXIX</w:t>
      </w:r>
      <w:r w:rsidRPr="00096648">
        <w:rPr>
          <w:rFonts w:ascii="Palatino Linotype" w:hAnsi="Palatino Linotype" w:cs="Arial"/>
          <w:i/>
          <w:sz w:val="22"/>
        </w:rPr>
        <w:t xml:space="preserve">. </w:t>
      </w:r>
      <w:r w:rsidRPr="00096648">
        <w:rPr>
          <w:rFonts w:ascii="Palatino Linotype" w:hAnsi="Palatino Linotype" w:cs="Arial"/>
          <w:b/>
          <w:i/>
          <w:sz w:val="22"/>
        </w:rPr>
        <w:t>Servidor público habilitado</w:t>
      </w:r>
      <w:r w:rsidRPr="00096648">
        <w:rPr>
          <w:rFonts w:ascii="Palatino Linotype" w:hAnsi="Palatino Linotype" w:cs="Arial"/>
          <w:i/>
          <w:sz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EC37F59" w14:textId="77777777" w:rsidR="00FB481F" w:rsidRPr="00096648" w:rsidRDefault="00FB481F" w:rsidP="002367F0">
      <w:pPr>
        <w:spacing w:line="276" w:lineRule="auto"/>
        <w:ind w:left="709" w:right="757"/>
        <w:jc w:val="both"/>
        <w:rPr>
          <w:rFonts w:ascii="Palatino Linotype" w:hAnsi="Palatino Linotype" w:cs="Arial"/>
          <w:i/>
          <w:sz w:val="22"/>
        </w:rPr>
      </w:pPr>
      <w:r w:rsidRPr="00096648">
        <w:rPr>
          <w:rFonts w:ascii="Palatino Linotype" w:hAnsi="Palatino Linotype" w:cs="Arial"/>
          <w:i/>
          <w:sz w:val="22"/>
        </w:rPr>
        <w:t>…</w:t>
      </w:r>
    </w:p>
    <w:p w14:paraId="2CF96BF9" w14:textId="77777777" w:rsidR="00FB481F" w:rsidRPr="00096648" w:rsidRDefault="00FB481F" w:rsidP="002367F0">
      <w:pPr>
        <w:spacing w:line="276" w:lineRule="auto"/>
        <w:ind w:left="709" w:right="757"/>
        <w:jc w:val="both"/>
        <w:rPr>
          <w:rFonts w:ascii="Palatino Linotype" w:hAnsi="Palatino Linotype" w:cs="Arial"/>
          <w:i/>
          <w:sz w:val="22"/>
        </w:rPr>
      </w:pPr>
      <w:r w:rsidRPr="00096648">
        <w:rPr>
          <w:rFonts w:ascii="Palatino Linotype" w:hAnsi="Palatino Linotype" w:cs="Arial"/>
          <w:b/>
          <w:i/>
          <w:sz w:val="22"/>
        </w:rPr>
        <w:t>Artículo 59</w:t>
      </w:r>
      <w:r w:rsidRPr="00096648">
        <w:rPr>
          <w:rFonts w:ascii="Palatino Linotype" w:hAnsi="Palatino Linotype" w:cs="Arial"/>
          <w:i/>
          <w:sz w:val="22"/>
        </w:rPr>
        <w:t xml:space="preserve">. </w:t>
      </w:r>
      <w:r w:rsidRPr="00096648">
        <w:rPr>
          <w:rFonts w:ascii="Palatino Linotype" w:hAnsi="Palatino Linotype" w:cs="Arial"/>
          <w:b/>
          <w:i/>
          <w:sz w:val="22"/>
        </w:rPr>
        <w:t>Los servidores públicos habilitados tendrán las funciones siguientes</w:t>
      </w:r>
      <w:r w:rsidRPr="00096648">
        <w:rPr>
          <w:rFonts w:ascii="Palatino Linotype" w:hAnsi="Palatino Linotype" w:cs="Arial"/>
          <w:i/>
          <w:sz w:val="22"/>
        </w:rPr>
        <w:t xml:space="preserve">: </w:t>
      </w:r>
    </w:p>
    <w:p w14:paraId="77B005FF" w14:textId="77777777" w:rsidR="00FB481F" w:rsidRPr="00096648" w:rsidRDefault="00FB481F" w:rsidP="002367F0">
      <w:pPr>
        <w:spacing w:line="276" w:lineRule="auto"/>
        <w:ind w:left="709" w:right="757"/>
        <w:jc w:val="both"/>
        <w:rPr>
          <w:rFonts w:ascii="Palatino Linotype" w:hAnsi="Palatino Linotype" w:cs="Arial"/>
          <w:i/>
          <w:sz w:val="22"/>
        </w:rPr>
      </w:pPr>
    </w:p>
    <w:p w14:paraId="36E2FFF9" w14:textId="77777777" w:rsidR="00FB481F" w:rsidRPr="00096648" w:rsidRDefault="00FB481F" w:rsidP="002367F0">
      <w:pPr>
        <w:spacing w:line="276" w:lineRule="auto"/>
        <w:ind w:left="709" w:right="757"/>
        <w:jc w:val="both"/>
        <w:rPr>
          <w:rFonts w:ascii="Palatino Linotype" w:hAnsi="Palatino Linotype" w:cs="Arial"/>
          <w:i/>
          <w:sz w:val="22"/>
        </w:rPr>
      </w:pPr>
      <w:r w:rsidRPr="00096648">
        <w:rPr>
          <w:rFonts w:ascii="Palatino Linotype" w:hAnsi="Palatino Linotype" w:cs="Arial"/>
          <w:b/>
          <w:i/>
          <w:sz w:val="22"/>
        </w:rPr>
        <w:t>I. Localizar la información que le solicite la Unidad de Transparencia</w:t>
      </w:r>
      <w:r w:rsidRPr="00096648">
        <w:rPr>
          <w:rFonts w:ascii="Palatino Linotype" w:hAnsi="Palatino Linotype" w:cs="Arial"/>
          <w:i/>
          <w:sz w:val="22"/>
        </w:rPr>
        <w:t xml:space="preserve">; </w:t>
      </w:r>
    </w:p>
    <w:p w14:paraId="3D82C282" w14:textId="77777777" w:rsidR="00FB481F" w:rsidRPr="00096648" w:rsidRDefault="00FB481F" w:rsidP="002367F0">
      <w:pPr>
        <w:spacing w:line="276" w:lineRule="auto"/>
        <w:ind w:left="709" w:right="757"/>
        <w:jc w:val="both"/>
        <w:rPr>
          <w:rFonts w:ascii="Palatino Linotype" w:hAnsi="Palatino Linotype" w:cs="Arial"/>
          <w:b/>
          <w:i/>
          <w:sz w:val="22"/>
        </w:rPr>
      </w:pPr>
      <w:r w:rsidRPr="00096648">
        <w:rPr>
          <w:rFonts w:ascii="Palatino Linotype" w:hAnsi="Palatino Linotype" w:cs="Arial"/>
          <w:b/>
          <w:i/>
          <w:sz w:val="22"/>
        </w:rPr>
        <w:t xml:space="preserve">II. Proporcionar la información que obre en los archivos y que le sea solicitada por la Unidad de Transparencia; </w:t>
      </w:r>
    </w:p>
    <w:p w14:paraId="5C6CC0E7" w14:textId="77777777" w:rsidR="00FB481F" w:rsidRPr="00096648" w:rsidRDefault="00FB481F" w:rsidP="002367F0">
      <w:pPr>
        <w:spacing w:line="276" w:lineRule="auto"/>
        <w:ind w:left="709" w:right="757"/>
        <w:jc w:val="both"/>
        <w:rPr>
          <w:rFonts w:ascii="Palatino Linotype" w:hAnsi="Palatino Linotype" w:cs="Arial"/>
          <w:b/>
          <w:i/>
          <w:sz w:val="22"/>
        </w:rPr>
      </w:pPr>
    </w:p>
    <w:p w14:paraId="5331494A" w14:textId="77777777" w:rsidR="00FB481F" w:rsidRDefault="00FB481F" w:rsidP="002367F0">
      <w:pPr>
        <w:spacing w:line="276" w:lineRule="auto"/>
        <w:ind w:left="709" w:right="757"/>
        <w:jc w:val="both"/>
        <w:rPr>
          <w:rFonts w:ascii="Palatino Linotype" w:hAnsi="Palatino Linotype" w:cs="Arial"/>
          <w:b/>
          <w:i/>
          <w:sz w:val="22"/>
        </w:rPr>
      </w:pPr>
      <w:r w:rsidRPr="00096648">
        <w:rPr>
          <w:rFonts w:ascii="Palatino Linotype" w:hAnsi="Palatino Linotype" w:cs="Arial"/>
          <w:b/>
          <w:i/>
          <w:sz w:val="22"/>
        </w:rPr>
        <w:t>III. Apoyar a la Unidad de Transparencia en lo que esta le solicite para el cumplimiento de sus funciones;”</w:t>
      </w:r>
    </w:p>
    <w:p w14:paraId="335CB542" w14:textId="77777777" w:rsidR="00880281" w:rsidRPr="00096648" w:rsidRDefault="00880281" w:rsidP="00880281">
      <w:pPr>
        <w:spacing w:line="360" w:lineRule="auto"/>
        <w:ind w:left="709" w:right="757"/>
        <w:jc w:val="both"/>
        <w:rPr>
          <w:rFonts w:ascii="Palatino Linotype" w:hAnsi="Palatino Linotype" w:cs="Arial"/>
          <w:b/>
          <w:i/>
          <w:sz w:val="22"/>
        </w:rPr>
      </w:pPr>
    </w:p>
    <w:p w14:paraId="5BACA1B9" w14:textId="4EA96E9B" w:rsidR="00FB481F" w:rsidRDefault="00FB481F" w:rsidP="00880281">
      <w:pPr>
        <w:pStyle w:val="Prrafodelista"/>
        <w:widowControl w:val="0"/>
        <w:autoSpaceDE w:val="0"/>
        <w:autoSpaceDN w:val="0"/>
        <w:adjustRightInd w:val="0"/>
        <w:spacing w:line="360" w:lineRule="auto"/>
        <w:ind w:left="0"/>
        <w:jc w:val="both"/>
        <w:rPr>
          <w:rFonts w:ascii="Palatino Linotype" w:hAnsi="Palatino Linotype" w:cs="Arial"/>
        </w:rPr>
      </w:pPr>
      <w:r w:rsidRPr="00096648">
        <w:rPr>
          <w:rFonts w:ascii="Palatino Linotype" w:hAnsi="Palatino Linotype" w:cs="Arial"/>
        </w:rPr>
        <w:t xml:space="preserve">Así, respecto de la información consistente en </w:t>
      </w:r>
      <w:r w:rsidR="00880281">
        <w:rPr>
          <w:rFonts w:ascii="Palatino Linotype" w:hAnsi="Palatino Linotype" w:cs="Arial"/>
        </w:rPr>
        <w:t xml:space="preserve">Inventarios de Bienes Muebles e </w:t>
      </w:r>
      <w:r w:rsidR="00880281">
        <w:rPr>
          <w:rFonts w:ascii="Palatino Linotype" w:hAnsi="Palatino Linotype" w:cs="Arial"/>
        </w:rPr>
        <w:lastRenderedPageBreak/>
        <w:t>Inmuebles</w:t>
      </w:r>
      <w:r w:rsidRPr="00096648">
        <w:rPr>
          <w:rFonts w:ascii="Palatino Linotype" w:hAnsi="Palatino Linotype" w:cs="Arial"/>
        </w:rPr>
        <w:t xml:space="preserve">, se advierte que el Titular de la Unidad de Transparencia del </w:t>
      </w:r>
      <w:r w:rsidRPr="00096648">
        <w:rPr>
          <w:rFonts w:ascii="Palatino Linotype" w:hAnsi="Palatino Linotype" w:cs="Arial"/>
          <w:b/>
        </w:rPr>
        <w:t>SUJETO OBLIGADO</w:t>
      </w:r>
      <w:r w:rsidRPr="00096648">
        <w:rPr>
          <w:rFonts w:ascii="Palatino Linotype" w:hAnsi="Palatino Linotype" w:cs="Arial"/>
        </w:rPr>
        <w:t xml:space="preserve">, en términos del artículo 162 de la Ley de Transparencia y Acceso a la Información Pública del Estado de México y Municipios, deberá solicitar la información requerida al Titular del </w:t>
      </w:r>
      <w:r>
        <w:rPr>
          <w:rFonts w:ascii="Palatino Linotype" w:hAnsi="Palatino Linotype" w:cs="Arial"/>
        </w:rPr>
        <w:t>Ayuntamiento</w:t>
      </w:r>
      <w:r w:rsidRPr="00096648">
        <w:rPr>
          <w:rFonts w:ascii="Palatino Linotype" w:hAnsi="Palatino Linotype" w:cs="Arial"/>
        </w:rPr>
        <w:t>, Tesorero</w:t>
      </w:r>
      <w:r w:rsidR="00880281">
        <w:rPr>
          <w:rFonts w:ascii="Palatino Linotype" w:hAnsi="Palatino Linotype" w:cs="Arial"/>
        </w:rPr>
        <w:t xml:space="preserve">, Secretario del Ayuntamiento </w:t>
      </w:r>
      <w:r w:rsidRPr="00096648">
        <w:rPr>
          <w:rFonts w:ascii="Palatino Linotype" w:hAnsi="Palatino Linotype" w:cs="Arial"/>
        </w:rPr>
        <w:t>o cualquier área que pu</w:t>
      </w:r>
      <w:r w:rsidR="00880281">
        <w:rPr>
          <w:rFonts w:ascii="Palatino Linotype" w:hAnsi="Palatino Linotype" w:cs="Arial"/>
        </w:rPr>
        <w:t xml:space="preserve">diera contar con la información, </w:t>
      </w:r>
      <w:r w:rsidRPr="00C94D23">
        <w:rPr>
          <w:rFonts w:ascii="Palatino Linotype" w:hAnsi="Palatino Linotype" w:cs="Arial"/>
        </w:rPr>
        <w:t>atendiendo</w:t>
      </w:r>
      <w:r>
        <w:rPr>
          <w:rFonts w:ascii="Palatino Linotype" w:hAnsi="Palatino Linotype" w:cs="Arial"/>
        </w:rPr>
        <w:t xml:space="preserve"> al principio de máxima publicidad contenido en el artículo 9 fracciones I y VII de la citada ley, a fin de dar certeza jurídica al particular.</w:t>
      </w:r>
    </w:p>
    <w:p w14:paraId="22AE5AD4" w14:textId="77777777" w:rsidR="00880281" w:rsidRDefault="00880281" w:rsidP="00880281">
      <w:pPr>
        <w:pStyle w:val="Prrafodelista"/>
        <w:widowControl w:val="0"/>
        <w:autoSpaceDE w:val="0"/>
        <w:autoSpaceDN w:val="0"/>
        <w:adjustRightInd w:val="0"/>
        <w:spacing w:line="360" w:lineRule="auto"/>
        <w:ind w:left="0"/>
        <w:jc w:val="both"/>
        <w:rPr>
          <w:rFonts w:ascii="Palatino Linotype" w:hAnsi="Palatino Linotype" w:cs="Arial"/>
        </w:rPr>
      </w:pPr>
    </w:p>
    <w:p w14:paraId="08C52A33" w14:textId="77777777" w:rsidR="00FB481F" w:rsidRDefault="00FB481F" w:rsidP="002367F0">
      <w:pPr>
        <w:spacing w:line="276" w:lineRule="auto"/>
        <w:ind w:left="709" w:right="757"/>
        <w:jc w:val="both"/>
        <w:rPr>
          <w:rFonts w:ascii="Palatino Linotype" w:hAnsi="Palatino Linotype" w:cs="Arial"/>
          <w:i/>
          <w:sz w:val="22"/>
        </w:rPr>
      </w:pPr>
      <w:r>
        <w:rPr>
          <w:rFonts w:ascii="Palatino Linotype" w:hAnsi="Palatino Linotype" w:cs="Arial"/>
          <w:b/>
          <w:i/>
          <w:sz w:val="22"/>
        </w:rPr>
        <w:t>“</w:t>
      </w:r>
      <w:r w:rsidRPr="000E16CE">
        <w:rPr>
          <w:rFonts w:ascii="Palatino Linotype" w:hAnsi="Palatino Linotype" w:cs="Arial"/>
          <w:b/>
          <w:i/>
          <w:sz w:val="22"/>
        </w:rPr>
        <w:t>Artículo 9.</w:t>
      </w:r>
      <w:r>
        <w:rPr>
          <w:rFonts w:ascii="Palatino Linotype" w:hAnsi="Palatino Linotype" w:cs="Arial"/>
          <w:i/>
          <w:sz w:val="22"/>
        </w:rPr>
        <w:t xml:space="preserve"> El Instituto deberá regir su funcionamiento de acuerdo a los siguientes principios:</w:t>
      </w:r>
    </w:p>
    <w:p w14:paraId="0EF0A0E6" w14:textId="77777777" w:rsidR="00FB481F" w:rsidRDefault="00FB481F" w:rsidP="002367F0">
      <w:pPr>
        <w:spacing w:line="276" w:lineRule="auto"/>
        <w:ind w:left="709" w:right="757"/>
        <w:jc w:val="both"/>
        <w:rPr>
          <w:rFonts w:ascii="Palatino Linotype" w:hAnsi="Palatino Linotype" w:cs="Arial"/>
          <w:i/>
          <w:sz w:val="22"/>
        </w:rPr>
      </w:pPr>
    </w:p>
    <w:p w14:paraId="40595E23" w14:textId="77777777" w:rsidR="00FB481F" w:rsidRPr="0017679E" w:rsidRDefault="00FB481F" w:rsidP="002367F0">
      <w:pPr>
        <w:pStyle w:val="Prrafodelista"/>
        <w:numPr>
          <w:ilvl w:val="0"/>
          <w:numId w:val="19"/>
        </w:numPr>
        <w:spacing w:line="276" w:lineRule="auto"/>
        <w:ind w:left="851" w:right="757" w:firstLine="0"/>
        <w:jc w:val="both"/>
        <w:rPr>
          <w:rFonts w:ascii="Palatino Linotype" w:hAnsi="Palatino Linotype" w:cs="Arial"/>
          <w:i/>
          <w:sz w:val="22"/>
        </w:rPr>
      </w:pPr>
      <w:r>
        <w:rPr>
          <w:rFonts w:ascii="Palatino Linotype" w:hAnsi="Palatino Linotype" w:cs="Arial"/>
          <w:i/>
          <w:sz w:val="22"/>
        </w:rPr>
        <w:t>Certeza: Principio que otorga seguridad y certidumbre jurídica a los particulares, en virtud de que permite conocer si las acciones del Instituto son apegadas a derecho y garantiza que los procedimientos sean completamente verificables, fidedignos y confiables;</w:t>
      </w:r>
    </w:p>
    <w:p w14:paraId="3F7D429A" w14:textId="77777777" w:rsidR="00FB481F" w:rsidRPr="00C94D23" w:rsidRDefault="00FB481F" w:rsidP="002367F0">
      <w:pPr>
        <w:spacing w:line="276" w:lineRule="auto"/>
        <w:ind w:left="851" w:right="899"/>
        <w:jc w:val="both"/>
        <w:rPr>
          <w:rFonts w:ascii="Palatino Linotype" w:hAnsi="Palatino Linotype" w:cs="Arial"/>
          <w:i/>
          <w:sz w:val="22"/>
        </w:rPr>
      </w:pPr>
      <w:r w:rsidRPr="00C94D23">
        <w:rPr>
          <w:rFonts w:ascii="Palatino Linotype" w:hAnsi="Palatino Linotype" w:cs="Arial"/>
          <w:b/>
          <w:i/>
          <w:sz w:val="22"/>
        </w:rPr>
        <w:t>VII.</w:t>
      </w:r>
      <w:r>
        <w:rPr>
          <w:rFonts w:ascii="Palatino Linotype" w:hAnsi="Palatino Linotype" w:cs="Arial"/>
          <w:i/>
          <w:sz w:val="22"/>
        </w:rPr>
        <w:tab/>
      </w:r>
      <w:r w:rsidRPr="00C94D23">
        <w:rPr>
          <w:rFonts w:ascii="Palatino Linotype" w:hAnsi="Palatino Linotype" w:cs="Arial"/>
          <w:i/>
          <w:sz w:val="22"/>
        </w:rPr>
        <w:t xml:space="preserve"> Máxima Publicidad: Toda la información en posesión de los sujetos obligados será pública, completa, oportuna y accesible, sujeta a un claro régimen de excepciones que deberán estar definidas y ser además legítimas y estrictamnte necesarias en una sociedad democrática;</w:t>
      </w:r>
    </w:p>
    <w:p w14:paraId="4370D846" w14:textId="77777777" w:rsidR="00FB481F" w:rsidRPr="0017679E" w:rsidRDefault="00FB481F" w:rsidP="002367F0">
      <w:pPr>
        <w:pStyle w:val="Prrafodelista"/>
        <w:tabs>
          <w:tab w:val="left" w:pos="2760"/>
        </w:tabs>
        <w:spacing w:line="276" w:lineRule="auto"/>
        <w:ind w:left="851" w:right="899"/>
        <w:jc w:val="both"/>
        <w:rPr>
          <w:rFonts w:ascii="Palatino Linotype" w:hAnsi="Palatino Linotype" w:cs="Arial"/>
          <w:i/>
          <w:sz w:val="22"/>
        </w:rPr>
      </w:pPr>
      <w:r w:rsidRPr="00C94D23">
        <w:rPr>
          <w:rFonts w:ascii="Palatino Linotype" w:hAnsi="Palatino Linotype" w:cs="Arial"/>
          <w:i/>
          <w:sz w:val="22"/>
        </w:rPr>
        <w:t>…</w:t>
      </w:r>
    </w:p>
    <w:p w14:paraId="5B25D676" w14:textId="77777777" w:rsidR="00FB481F" w:rsidRPr="0017679E" w:rsidRDefault="00FB481F" w:rsidP="002367F0">
      <w:pPr>
        <w:spacing w:line="276" w:lineRule="auto"/>
        <w:ind w:left="709" w:right="757"/>
        <w:jc w:val="both"/>
        <w:rPr>
          <w:rFonts w:ascii="Palatino Linotype" w:hAnsi="Palatino Linotype" w:cs="Arial"/>
          <w:b/>
          <w:i/>
          <w:sz w:val="22"/>
        </w:rPr>
      </w:pPr>
      <w:r w:rsidRPr="005F35CE">
        <w:rPr>
          <w:rFonts w:ascii="Palatino Linotype" w:hAnsi="Palatino Linotype" w:cs="Arial"/>
          <w:b/>
          <w:i/>
          <w:sz w:val="22"/>
        </w:rPr>
        <w:t>Artículo 162</w:t>
      </w:r>
      <w:r w:rsidRPr="005F35CE">
        <w:rPr>
          <w:rFonts w:ascii="Palatino Linotype" w:hAnsi="Palatino Linotype" w:cs="Arial"/>
          <w:i/>
          <w:sz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w:t>
      </w:r>
      <w:r>
        <w:rPr>
          <w:rFonts w:ascii="Palatino Linotype" w:hAnsi="Palatino Linotype" w:cs="Arial"/>
          <w:i/>
          <w:sz w:val="22"/>
        </w:rPr>
        <w:t>e de la información solicitada</w:t>
      </w:r>
      <w:r w:rsidRPr="00C94D23">
        <w:rPr>
          <w:rFonts w:ascii="Palatino Linotype" w:hAnsi="Palatino Linotype" w:cs="Arial"/>
          <w:b/>
          <w:i/>
          <w:sz w:val="22"/>
        </w:rPr>
        <w:t>.”</w:t>
      </w:r>
    </w:p>
    <w:p w14:paraId="55050C3F" w14:textId="77777777" w:rsidR="00880281" w:rsidRDefault="00880281" w:rsidP="00FB481F">
      <w:pPr>
        <w:spacing w:line="360" w:lineRule="auto"/>
        <w:jc w:val="both"/>
        <w:rPr>
          <w:rFonts w:ascii="Palatino Linotype" w:hAnsi="Palatino Linotype" w:cs="Arial"/>
        </w:rPr>
      </w:pPr>
    </w:p>
    <w:p w14:paraId="55A14F52" w14:textId="17708E83" w:rsidR="00FB481F" w:rsidRDefault="002367F0" w:rsidP="00FB481F">
      <w:pPr>
        <w:spacing w:line="360" w:lineRule="auto"/>
        <w:jc w:val="both"/>
        <w:rPr>
          <w:rFonts w:ascii="Palatino Linotype" w:hAnsi="Palatino Linotype" w:cs="Arial"/>
        </w:rPr>
      </w:pPr>
      <w:r>
        <w:rPr>
          <w:rFonts w:ascii="Palatino Linotype" w:hAnsi="Palatino Linotype" w:cs="Arial"/>
        </w:rPr>
        <w:t>Así, s</w:t>
      </w:r>
      <w:r w:rsidR="00880281">
        <w:rPr>
          <w:rFonts w:ascii="Palatino Linotype" w:hAnsi="Palatino Linotype" w:cs="Arial"/>
        </w:rPr>
        <w:t xml:space="preserve">in que imperiosamente </w:t>
      </w:r>
      <w:r w:rsidR="00FB481F">
        <w:rPr>
          <w:rFonts w:ascii="Palatino Linotype" w:hAnsi="Palatino Linotype" w:cs="Arial"/>
        </w:rPr>
        <w:t xml:space="preserve">todos los servidores públicos habilitados que pudieran contar con la información solicitada, </w:t>
      </w:r>
      <w:r w:rsidR="00880281">
        <w:rPr>
          <w:rFonts w:ascii="Palatino Linotype" w:hAnsi="Palatino Linotype" w:cs="Arial"/>
        </w:rPr>
        <w:t xml:space="preserve">tengan que </w:t>
      </w:r>
      <w:r w:rsidR="00FB481F">
        <w:rPr>
          <w:rFonts w:ascii="Palatino Linotype" w:hAnsi="Palatino Linotype" w:cs="Arial"/>
        </w:rPr>
        <w:t>pronuncia</w:t>
      </w:r>
      <w:r w:rsidR="00880281">
        <w:rPr>
          <w:rFonts w:ascii="Palatino Linotype" w:hAnsi="Palatino Linotype" w:cs="Arial"/>
        </w:rPr>
        <w:t>rse</w:t>
      </w:r>
      <w:r w:rsidR="00FB481F">
        <w:rPr>
          <w:rFonts w:ascii="Palatino Linotype" w:hAnsi="Palatino Linotype" w:cs="Arial"/>
        </w:rPr>
        <w:t xml:space="preserve"> con relación a la información solicitada</w:t>
      </w:r>
      <w:r w:rsidR="00880281">
        <w:rPr>
          <w:rFonts w:ascii="Palatino Linotype" w:hAnsi="Palatino Linotype" w:cs="Arial"/>
        </w:rPr>
        <w:t xml:space="preserve"> para</w:t>
      </w:r>
      <w:r w:rsidR="00FB481F">
        <w:rPr>
          <w:rFonts w:ascii="Palatino Linotype" w:hAnsi="Palatino Linotype" w:cs="Arial"/>
        </w:rPr>
        <w:t xml:space="preserve"> entonces</w:t>
      </w:r>
      <w:r>
        <w:rPr>
          <w:rFonts w:ascii="Palatino Linotype" w:hAnsi="Palatino Linotype" w:cs="Arial"/>
        </w:rPr>
        <w:t>,</w:t>
      </w:r>
      <w:r w:rsidR="00FB481F">
        <w:rPr>
          <w:rFonts w:ascii="Palatino Linotype" w:hAnsi="Palatino Linotype" w:cs="Arial"/>
        </w:rPr>
        <w:t xml:space="preserve"> ten</w:t>
      </w:r>
      <w:r w:rsidR="00880281">
        <w:rPr>
          <w:rFonts w:ascii="Palatino Linotype" w:hAnsi="Palatino Linotype" w:cs="Arial"/>
        </w:rPr>
        <w:t>e</w:t>
      </w:r>
      <w:r w:rsidR="00FB481F">
        <w:rPr>
          <w:rFonts w:ascii="Palatino Linotype" w:hAnsi="Palatino Linotype" w:cs="Arial"/>
        </w:rPr>
        <w:t xml:space="preserve">r por colmado el derecho de acceso a la </w:t>
      </w:r>
      <w:r w:rsidR="00FB481F">
        <w:rPr>
          <w:rFonts w:ascii="Palatino Linotype" w:hAnsi="Palatino Linotype" w:cs="Arial"/>
        </w:rPr>
        <w:lastRenderedPageBreak/>
        <w:t xml:space="preserve">información pública del </w:t>
      </w:r>
      <w:r w:rsidR="00FB481F" w:rsidRPr="00024ADF">
        <w:rPr>
          <w:rFonts w:ascii="Palatino Linotype" w:hAnsi="Palatino Linotype" w:cs="Arial"/>
          <w:b/>
        </w:rPr>
        <w:t>RECURRENTE</w:t>
      </w:r>
      <w:r w:rsidR="00880281">
        <w:rPr>
          <w:rFonts w:ascii="Palatino Linotype" w:hAnsi="Palatino Linotype" w:cs="Arial"/>
          <w:b/>
        </w:rPr>
        <w:t xml:space="preserve">, </w:t>
      </w:r>
      <w:r w:rsidR="00880281">
        <w:rPr>
          <w:rFonts w:ascii="Palatino Linotype" w:hAnsi="Palatino Linotype" w:cs="Arial"/>
        </w:rPr>
        <w:t xml:space="preserve">cuando de la fuente obligacional que constriñe la generación del documento </w:t>
      </w:r>
      <w:r>
        <w:rPr>
          <w:rFonts w:ascii="Palatino Linotype" w:hAnsi="Palatino Linotype" w:cs="Arial"/>
        </w:rPr>
        <w:t xml:space="preserve">se </w:t>
      </w:r>
      <w:r w:rsidR="00880281">
        <w:rPr>
          <w:rFonts w:ascii="Palatino Linotype" w:hAnsi="Palatino Linotype" w:cs="Arial"/>
        </w:rPr>
        <w:t>señala</w:t>
      </w:r>
      <w:r>
        <w:rPr>
          <w:rFonts w:ascii="Palatino Linotype" w:hAnsi="Palatino Linotype" w:cs="Arial"/>
        </w:rPr>
        <w:t xml:space="preserve"> en</w:t>
      </w:r>
      <w:r w:rsidR="00880281">
        <w:rPr>
          <w:rFonts w:ascii="Palatino Linotype" w:hAnsi="Palatino Linotype" w:cs="Arial"/>
        </w:rPr>
        <w:t xml:space="preserve"> </w:t>
      </w:r>
      <w:r>
        <w:rPr>
          <w:rFonts w:ascii="Palatino Linotype" w:hAnsi="Palatino Linotype" w:cs="Arial"/>
        </w:rPr>
        <w:t>específico</w:t>
      </w:r>
      <w:r w:rsidR="00880281">
        <w:rPr>
          <w:rFonts w:ascii="Palatino Linotype" w:hAnsi="Palatino Linotype" w:cs="Arial"/>
        </w:rPr>
        <w:t xml:space="preserve"> aquel que pueda y en su caso proporcione la información.</w:t>
      </w:r>
    </w:p>
    <w:p w14:paraId="5372F5CE" w14:textId="77777777" w:rsidR="00880281" w:rsidRDefault="00880281" w:rsidP="00FB481F">
      <w:pPr>
        <w:spacing w:line="360" w:lineRule="auto"/>
        <w:jc w:val="both"/>
        <w:rPr>
          <w:rFonts w:ascii="Palatino Linotype" w:hAnsi="Palatino Linotype" w:cs="Arial"/>
        </w:rPr>
      </w:pPr>
    </w:p>
    <w:p w14:paraId="58C6E27C" w14:textId="70DED0F9" w:rsidR="00880281" w:rsidRDefault="002367F0" w:rsidP="00D30624">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2F03D413" wp14:editId="7D41B1E1">
                <wp:simplePos x="0" y="0"/>
                <wp:positionH relativeFrom="column">
                  <wp:posOffset>53340</wp:posOffset>
                </wp:positionH>
                <wp:positionV relativeFrom="paragraph">
                  <wp:posOffset>4119245</wp:posOffset>
                </wp:positionV>
                <wp:extent cx="5486400" cy="1676400"/>
                <wp:effectExtent l="38100" t="38100" r="76200" b="95250"/>
                <wp:wrapNone/>
                <wp:docPr id="3" name="Conector recto 3"/>
                <wp:cNvGraphicFramePr/>
                <a:graphic xmlns:a="http://schemas.openxmlformats.org/drawingml/2006/main">
                  <a:graphicData uri="http://schemas.microsoft.com/office/word/2010/wordprocessingShape">
                    <wps:wsp>
                      <wps:cNvCnPr/>
                      <wps:spPr>
                        <a:xfrm>
                          <a:off x="0" y="0"/>
                          <a:ext cx="5486400" cy="1676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25C051"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324.35pt" to="436.2pt,4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" strokecolor="#4f81bd [3204]" strokeweight="2pt">
                <v:shadow on="t" color="black" opacity="24903f" origin=",.5" offset="0,.55556mm"/>
              </v:line>
            </w:pict>
          </mc:Fallback>
        </mc:AlternateContent>
      </w:r>
      <w:r w:rsidR="00880281">
        <w:rPr>
          <w:rFonts w:ascii="Palatino Linotype" w:hAnsi="Palatino Linotype" w:cs="Arial"/>
        </w:rPr>
        <w:t xml:space="preserve">Para entender mejor esto, es menester recordar que </w:t>
      </w:r>
      <w:r w:rsidR="00880281" w:rsidRPr="002367F0">
        <w:rPr>
          <w:rFonts w:ascii="Palatino Linotype" w:hAnsi="Palatino Linotype" w:cs="Arial"/>
          <w:b/>
        </w:rPr>
        <w:t>EL RECURRENTE</w:t>
      </w:r>
      <w:r w:rsidR="00880281">
        <w:rPr>
          <w:rFonts w:ascii="Palatino Linotype" w:hAnsi="Palatino Linotype" w:cs="Arial"/>
        </w:rPr>
        <w:t xml:space="preserve"> señaló como razones y motivos de inconformidad </w:t>
      </w:r>
      <w:r w:rsidR="00880281" w:rsidRPr="00880281">
        <w:rPr>
          <w:rFonts w:ascii="Palatino Linotype" w:hAnsi="Palatino Linotype" w:cs="Arial"/>
          <w:i/>
        </w:rPr>
        <w:t>“Deseo el documento que pedí para poder corroborar que fue elaborada y enviada al Órgano Superior de Fiscalización”</w:t>
      </w:r>
      <w:r w:rsidR="00880281">
        <w:rPr>
          <w:rFonts w:ascii="Palatino Linotype" w:hAnsi="Palatino Linotype" w:cs="Arial"/>
          <w:i/>
        </w:rPr>
        <w:t xml:space="preserve">, </w:t>
      </w:r>
      <w:r w:rsidR="00880281">
        <w:rPr>
          <w:rFonts w:ascii="Palatino Linotype" w:hAnsi="Palatino Linotype" w:cs="Arial"/>
        </w:rPr>
        <w:t xml:space="preserve">así tenemos que requiere un </w:t>
      </w:r>
      <w:r w:rsidR="00D30624">
        <w:rPr>
          <w:rFonts w:ascii="Palatino Linotype" w:hAnsi="Palatino Linotype" w:cs="Arial"/>
        </w:rPr>
        <w:t>documento</w:t>
      </w:r>
      <w:r w:rsidR="00880281">
        <w:rPr>
          <w:rFonts w:ascii="Palatino Linotype" w:hAnsi="Palatino Linotype" w:cs="Arial"/>
        </w:rPr>
        <w:t xml:space="preserve"> espec</w:t>
      </w:r>
      <w:r>
        <w:rPr>
          <w:rFonts w:ascii="Palatino Linotype" w:hAnsi="Palatino Linotype" w:cs="Arial"/>
        </w:rPr>
        <w:t>í</w:t>
      </w:r>
      <w:r w:rsidR="00880281">
        <w:rPr>
          <w:rFonts w:ascii="Palatino Linotype" w:hAnsi="Palatino Linotype" w:cs="Arial"/>
        </w:rPr>
        <w:t xml:space="preserve">fico que conforme a los </w:t>
      </w:r>
      <w:r w:rsidR="00D30624" w:rsidRPr="00D30624">
        <w:rPr>
          <w:rFonts w:ascii="Palatino Linotype" w:hAnsi="Palatino Linotype" w:cs="Arial"/>
        </w:rPr>
        <w:t>Lineamientos para la</w:t>
      </w:r>
      <w:r w:rsidR="00D30624">
        <w:rPr>
          <w:rFonts w:ascii="Palatino Linotype" w:hAnsi="Palatino Linotype" w:cs="Arial"/>
        </w:rPr>
        <w:t xml:space="preserve"> </w:t>
      </w:r>
      <w:r w:rsidR="00D30624" w:rsidRPr="00D30624">
        <w:rPr>
          <w:rFonts w:ascii="Palatino Linotype" w:hAnsi="Palatino Linotype" w:cs="Arial"/>
        </w:rPr>
        <w:t>Elaboración y</w:t>
      </w:r>
      <w:r w:rsidR="00D30624">
        <w:rPr>
          <w:rFonts w:ascii="Palatino Linotype" w:hAnsi="Palatino Linotype" w:cs="Arial"/>
        </w:rPr>
        <w:t xml:space="preserve"> </w:t>
      </w:r>
      <w:r w:rsidR="00D30624" w:rsidRPr="00D30624">
        <w:rPr>
          <w:rFonts w:ascii="Palatino Linotype" w:hAnsi="Palatino Linotype" w:cs="Arial"/>
        </w:rPr>
        <w:t>Presentación del</w:t>
      </w:r>
      <w:r w:rsidR="00D30624">
        <w:rPr>
          <w:rFonts w:ascii="Palatino Linotype" w:hAnsi="Palatino Linotype" w:cs="Arial"/>
        </w:rPr>
        <w:t xml:space="preserve"> </w:t>
      </w:r>
      <w:r w:rsidR="00D30624" w:rsidRPr="00D30624">
        <w:rPr>
          <w:rFonts w:ascii="Palatino Linotype" w:hAnsi="Palatino Linotype" w:cs="Arial"/>
        </w:rPr>
        <w:t>Informe Mensual</w:t>
      </w:r>
      <w:r w:rsidR="00D30624">
        <w:rPr>
          <w:rFonts w:ascii="Palatino Linotype" w:hAnsi="Palatino Linotype" w:cs="Arial"/>
        </w:rPr>
        <w:t xml:space="preserve"> </w:t>
      </w:r>
      <w:r w:rsidR="00D30624" w:rsidRPr="00D30624">
        <w:rPr>
          <w:rFonts w:ascii="Palatino Linotype" w:hAnsi="Palatino Linotype" w:cs="Arial"/>
        </w:rPr>
        <w:t>Municipal</w:t>
      </w:r>
      <w:r w:rsidR="00D30624">
        <w:rPr>
          <w:rFonts w:ascii="Palatino Linotype" w:hAnsi="Palatino Linotype" w:cs="Arial"/>
        </w:rPr>
        <w:t>, dichos documentos son remitidos al OSFEM como parte de los que integran la información del Disco 2 de los Informes Mensuales, los cuales una vez entregados</w:t>
      </w:r>
      <w:r w:rsidR="00D30624" w:rsidRPr="00D30624">
        <w:rPr>
          <w:rFonts w:ascii="Palatino Linotype" w:hAnsi="Palatino Linotype" w:cs="Arial"/>
        </w:rPr>
        <w:t>, la infor</w:t>
      </w:r>
      <w:r w:rsidR="00D30624">
        <w:rPr>
          <w:rFonts w:ascii="Palatino Linotype" w:hAnsi="Palatino Linotype" w:cs="Arial"/>
        </w:rPr>
        <w:t xml:space="preserve">mación documental comprobatoria </w:t>
      </w:r>
      <w:r w:rsidR="00D30624" w:rsidRPr="00D30624">
        <w:rPr>
          <w:rFonts w:ascii="Palatino Linotype" w:hAnsi="Palatino Linotype" w:cs="Arial"/>
        </w:rPr>
        <w:t>deberá permanecer en custodia y conservación de las dependencias o entidades que</w:t>
      </w:r>
      <w:r w:rsidR="00D30624">
        <w:rPr>
          <w:rFonts w:ascii="Palatino Linotype" w:hAnsi="Palatino Linotype" w:cs="Arial"/>
        </w:rPr>
        <w:t xml:space="preserve"> </w:t>
      </w:r>
      <w:r w:rsidR="00D30624" w:rsidRPr="00D30624">
        <w:rPr>
          <w:rFonts w:ascii="Palatino Linotype" w:hAnsi="Palatino Linotype" w:cs="Arial"/>
        </w:rPr>
        <w:t>ejercieron el gasto y a disposición del Órgano Superior de Fiscalización del Estado de</w:t>
      </w:r>
      <w:r w:rsidR="00D30624">
        <w:rPr>
          <w:rFonts w:ascii="Palatino Linotype" w:hAnsi="Palatino Linotype" w:cs="Arial"/>
        </w:rPr>
        <w:t xml:space="preserve"> </w:t>
      </w:r>
      <w:r w:rsidR="00D30624" w:rsidRPr="00D30624">
        <w:rPr>
          <w:rFonts w:ascii="Palatino Linotype" w:hAnsi="Palatino Linotype" w:cs="Arial"/>
        </w:rPr>
        <w:t xml:space="preserve">México y de los órganos de control interno por un término de 5 años contados a partir </w:t>
      </w:r>
      <w:r w:rsidR="00D30624">
        <w:rPr>
          <w:rFonts w:ascii="Palatino Linotype" w:hAnsi="Palatino Linotype" w:cs="Arial"/>
        </w:rPr>
        <w:t xml:space="preserve"> d</w:t>
      </w:r>
      <w:r w:rsidR="00D30624" w:rsidRPr="00D30624">
        <w:rPr>
          <w:rFonts w:ascii="Palatino Linotype" w:hAnsi="Palatino Linotype" w:cs="Arial"/>
        </w:rPr>
        <w:t>el</w:t>
      </w:r>
      <w:r w:rsidR="00D30624">
        <w:rPr>
          <w:rFonts w:ascii="Palatino Linotype" w:hAnsi="Palatino Linotype" w:cs="Arial"/>
        </w:rPr>
        <w:t xml:space="preserve"> </w:t>
      </w:r>
      <w:r w:rsidR="00D30624" w:rsidRPr="00D30624">
        <w:rPr>
          <w:rFonts w:ascii="Palatino Linotype" w:hAnsi="Palatino Linotype" w:cs="Arial"/>
        </w:rPr>
        <w:t>ejercicio presupuestal siguiente al que corresponda, en el caso de los municipios se hará</w:t>
      </w:r>
      <w:r w:rsidR="00D30624">
        <w:rPr>
          <w:rFonts w:ascii="Palatino Linotype" w:hAnsi="Palatino Linotype" w:cs="Arial"/>
        </w:rPr>
        <w:t xml:space="preserve"> </w:t>
      </w:r>
      <w:r w:rsidR="00D30624" w:rsidRPr="00D30624">
        <w:rPr>
          <w:rFonts w:ascii="Palatino Linotype" w:hAnsi="Palatino Linotype" w:cs="Arial"/>
        </w:rPr>
        <w:t xml:space="preserve">por la </w:t>
      </w:r>
      <w:r w:rsidR="00BF11F0">
        <w:rPr>
          <w:rFonts w:ascii="Palatino Linotype" w:hAnsi="Palatino Linotype" w:cs="Arial"/>
        </w:rPr>
        <w:t>Tesorería, ello</w:t>
      </w:r>
      <w:r w:rsidR="00D30624" w:rsidRPr="00D30624">
        <w:rPr>
          <w:rFonts w:ascii="Palatino Linotype" w:hAnsi="Palatino Linotype" w:cs="Arial"/>
        </w:rPr>
        <w:t xml:space="preserve"> de acuerdo con el artículo 344 del Código Financiero del</w:t>
      </w:r>
      <w:r w:rsidR="00BF11F0">
        <w:rPr>
          <w:rFonts w:ascii="Palatino Linotype" w:hAnsi="Palatino Linotype" w:cs="Arial"/>
        </w:rPr>
        <w:t xml:space="preserve"> </w:t>
      </w:r>
      <w:r w:rsidR="00D30624" w:rsidRPr="00D30624">
        <w:rPr>
          <w:rFonts w:ascii="Palatino Linotype" w:hAnsi="Palatino Linotype" w:cs="Arial"/>
        </w:rPr>
        <w:t>Estado de México y Municipios.</w:t>
      </w:r>
    </w:p>
    <w:p w14:paraId="22BAD18A" w14:textId="77777777" w:rsidR="00D30624" w:rsidRDefault="00D30624" w:rsidP="00D30624">
      <w:pPr>
        <w:spacing w:line="360" w:lineRule="auto"/>
        <w:jc w:val="both"/>
        <w:rPr>
          <w:noProof/>
          <w:lang w:eastAsia="es-MX"/>
        </w:rPr>
      </w:pPr>
      <w:r>
        <w:rPr>
          <w:noProof/>
          <w:lang w:eastAsia="es-MX"/>
        </w:rPr>
        <w:lastRenderedPageBreak/>
        <w:drawing>
          <wp:inline distT="0" distB="0" distL="0" distR="0" wp14:anchorId="486333C2" wp14:editId="3E706307">
            <wp:extent cx="5790274" cy="372139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8972" cy="3733412"/>
                    </a:xfrm>
                    <a:prstGeom prst="rect">
                      <a:avLst/>
                    </a:prstGeom>
                  </pic:spPr>
                </pic:pic>
              </a:graphicData>
            </a:graphic>
          </wp:inline>
        </w:drawing>
      </w:r>
      <w:r w:rsidRPr="00D30624">
        <w:rPr>
          <w:noProof/>
          <w:lang w:eastAsia="es-MX"/>
        </w:rPr>
        <w:t xml:space="preserve"> </w:t>
      </w:r>
    </w:p>
    <w:p w14:paraId="505271C8" w14:textId="77777777" w:rsidR="002367F0" w:rsidRDefault="002367F0" w:rsidP="00D30624">
      <w:pPr>
        <w:spacing w:line="360" w:lineRule="auto"/>
        <w:jc w:val="both"/>
        <w:rPr>
          <w:noProof/>
          <w:lang w:eastAsia="es-MX"/>
        </w:rPr>
      </w:pPr>
    </w:p>
    <w:p w14:paraId="579C16EB" w14:textId="74057199" w:rsidR="00D30624" w:rsidRPr="00880281" w:rsidRDefault="00D30624" w:rsidP="00D30624">
      <w:pPr>
        <w:spacing w:line="360" w:lineRule="auto"/>
        <w:jc w:val="both"/>
        <w:rPr>
          <w:rFonts w:ascii="Palatino Linotype" w:hAnsi="Palatino Linotype" w:cs="Arial"/>
        </w:rPr>
      </w:pPr>
      <w:r>
        <w:rPr>
          <w:noProof/>
          <w:lang w:eastAsia="es-MX"/>
        </w:rPr>
        <w:drawing>
          <wp:inline distT="0" distB="0" distL="0" distR="0" wp14:anchorId="72AE6B31" wp14:editId="13BCCFD3">
            <wp:extent cx="5791835" cy="242422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6540" cy="2430378"/>
                    </a:xfrm>
                    <a:prstGeom prst="rect">
                      <a:avLst/>
                    </a:prstGeom>
                  </pic:spPr>
                </pic:pic>
              </a:graphicData>
            </a:graphic>
          </wp:inline>
        </w:drawing>
      </w:r>
    </w:p>
    <w:p w14:paraId="5C51FC8C" w14:textId="77777777" w:rsidR="002367F0" w:rsidRDefault="002367F0" w:rsidP="00436D14">
      <w:pPr>
        <w:spacing w:line="360" w:lineRule="auto"/>
        <w:jc w:val="both"/>
        <w:rPr>
          <w:rFonts w:ascii="Palatino Linotype" w:hAnsi="Palatino Linotype" w:cs="Arial"/>
        </w:rPr>
      </w:pPr>
    </w:p>
    <w:p w14:paraId="75C16C75" w14:textId="0E541DB6" w:rsidR="00BF11F0" w:rsidRDefault="00BF11F0" w:rsidP="00436D14">
      <w:pPr>
        <w:spacing w:line="360" w:lineRule="auto"/>
        <w:jc w:val="both"/>
        <w:rPr>
          <w:rFonts w:ascii="Palatino Linotype" w:hAnsi="Palatino Linotype" w:cs="Arial"/>
        </w:rPr>
      </w:pPr>
      <w:r w:rsidRPr="00BF11F0">
        <w:rPr>
          <w:rFonts w:ascii="Palatino Linotype" w:hAnsi="Palatino Linotype" w:cs="Arial"/>
        </w:rPr>
        <w:lastRenderedPageBreak/>
        <w:t>Concluyendo lo anterior,</w:t>
      </w:r>
      <w:r w:rsidR="002367F0">
        <w:rPr>
          <w:rFonts w:ascii="Palatino Linotype" w:hAnsi="Palatino Linotype" w:cs="Arial"/>
        </w:rPr>
        <w:t xml:space="preserve"> con lo</w:t>
      </w:r>
      <w:r w:rsidRPr="00BF11F0">
        <w:rPr>
          <w:rFonts w:ascii="Palatino Linotype" w:hAnsi="Palatino Linotype" w:cs="Arial"/>
        </w:rPr>
        <w:t xml:space="preserve"> señalado </w:t>
      </w:r>
      <w:r w:rsidR="002367F0">
        <w:rPr>
          <w:rFonts w:ascii="Palatino Linotype" w:hAnsi="Palatino Linotype" w:cs="Arial"/>
        </w:rPr>
        <w:t>por</w:t>
      </w:r>
      <w:r w:rsidRPr="00BF11F0">
        <w:rPr>
          <w:rFonts w:ascii="Palatino Linotype" w:hAnsi="Palatino Linotype" w:cs="Arial"/>
        </w:rPr>
        <w:t xml:space="preserve"> el artículo 162 de la Ley de la materia, constriñe a los Sujetos Obligados a turnar la solicitud de información a todas las áreas que conforme a sus facultades y atribuciones pudieran contar con la información a fin de ser </w:t>
      </w:r>
      <w:r w:rsidRPr="00BF11F0">
        <w:rPr>
          <w:rFonts w:ascii="Palatino Linotype" w:hAnsi="Palatino Linotype" w:cs="Arial"/>
          <w:b/>
        </w:rPr>
        <w:t>localizada</w:t>
      </w:r>
      <w:r w:rsidR="002367F0">
        <w:rPr>
          <w:rFonts w:ascii="Palatino Linotype" w:hAnsi="Palatino Linotype" w:cs="Arial"/>
        </w:rPr>
        <w:t>.</w:t>
      </w:r>
    </w:p>
    <w:p w14:paraId="53D81C30" w14:textId="77777777" w:rsidR="00BF11F0" w:rsidRDefault="00BF11F0" w:rsidP="00436D14">
      <w:pPr>
        <w:spacing w:line="360" w:lineRule="auto"/>
        <w:jc w:val="both"/>
        <w:rPr>
          <w:rFonts w:ascii="Palatino Linotype" w:hAnsi="Palatino Linotype" w:cs="Arial"/>
        </w:rPr>
      </w:pPr>
    </w:p>
    <w:p w14:paraId="46CF6A24" w14:textId="641892A1" w:rsidR="00BF11F0" w:rsidRPr="00BF11F0" w:rsidRDefault="00436D14" w:rsidP="00BF11F0">
      <w:pPr>
        <w:spacing w:line="360" w:lineRule="auto"/>
        <w:jc w:val="both"/>
        <w:rPr>
          <w:rFonts w:ascii="Palatino Linotype" w:hAnsi="Palatino Linotype" w:cs="Arial"/>
        </w:rPr>
      </w:pPr>
      <w:r w:rsidRPr="007A5414">
        <w:rPr>
          <w:rFonts w:ascii="Palatino Linotype" w:hAnsi="Palatino Linotype" w:cs="Arial"/>
        </w:rPr>
        <w:t xml:space="preserve">Ante ello, es de </w:t>
      </w:r>
      <w:r w:rsidR="00875BD4">
        <w:rPr>
          <w:rFonts w:ascii="Palatino Linotype" w:hAnsi="Palatino Linotype" w:cs="Arial"/>
          <w:b/>
        </w:rPr>
        <w:t>OPINIÓ</w:t>
      </w:r>
      <w:r w:rsidRPr="007A5414">
        <w:rPr>
          <w:rFonts w:ascii="Palatino Linotype" w:hAnsi="Palatino Linotype" w:cs="Arial"/>
          <w:b/>
        </w:rPr>
        <w:t>N PARTICULAR</w:t>
      </w:r>
      <w:r w:rsidRPr="007A5414">
        <w:rPr>
          <w:rFonts w:ascii="Palatino Linotype" w:hAnsi="Palatino Linotype" w:cs="Arial"/>
        </w:rPr>
        <w:t xml:space="preserve"> el reforzar el estudio </w:t>
      </w:r>
      <w:r w:rsidR="00875BD4">
        <w:rPr>
          <w:rFonts w:ascii="Palatino Linotype" w:hAnsi="Palatino Linotype" w:cs="Arial"/>
        </w:rPr>
        <w:t>puesto que se insiste se comparte</w:t>
      </w:r>
      <w:r w:rsidRPr="007A5414">
        <w:rPr>
          <w:rFonts w:ascii="Palatino Linotype" w:hAnsi="Palatino Linotype" w:cs="Arial"/>
        </w:rPr>
        <w:t xml:space="preserve"> el fallo tanto en lo general como en su sentido, </w:t>
      </w:r>
      <w:r w:rsidR="00BF11F0" w:rsidRPr="00BF11F0">
        <w:rPr>
          <w:rFonts w:ascii="Palatino Linotype" w:hAnsi="Palatino Linotype" w:cs="Arial"/>
        </w:rPr>
        <w:t xml:space="preserve">en razón de que se debió turnar la solicitud de acceso a la información del particular a las demás áreas del Ayuntamiento, que de acuerdo a sus funciones y atribuciones pudieran realizar una búsqueda exhaustiva y razonable de la información en sus archivos, a fin de satisfacer el derecho de acceso a la información pública del </w:t>
      </w:r>
      <w:r w:rsidR="00BF11F0" w:rsidRPr="00BF11F0">
        <w:rPr>
          <w:rFonts w:ascii="Palatino Linotype" w:hAnsi="Palatino Linotype" w:cs="Arial"/>
          <w:b/>
        </w:rPr>
        <w:t>RECURRENTE</w:t>
      </w:r>
      <w:r w:rsidR="00BF11F0">
        <w:rPr>
          <w:rFonts w:ascii="Palatino Linotype" w:hAnsi="Palatino Linotype" w:cs="Arial"/>
        </w:rPr>
        <w:t>, destacando que dicha búsqueda se colma una vez localizada y proporcionada la información</w:t>
      </w:r>
      <w:r w:rsidR="002367F0">
        <w:rPr>
          <w:rFonts w:ascii="Palatino Linotype" w:hAnsi="Palatino Linotype" w:cs="Arial"/>
        </w:rPr>
        <w:t>.</w:t>
      </w:r>
    </w:p>
    <w:p w14:paraId="1E27BBD3" w14:textId="77777777" w:rsidR="00BF11F0" w:rsidRPr="00BF11F0" w:rsidRDefault="00BF11F0" w:rsidP="00BF11F0">
      <w:pPr>
        <w:spacing w:line="360" w:lineRule="auto"/>
        <w:jc w:val="both"/>
        <w:rPr>
          <w:rFonts w:ascii="Palatino Linotype" w:hAnsi="Palatino Linotype" w:cs="Arial"/>
        </w:rPr>
      </w:pPr>
    </w:p>
    <w:p w14:paraId="755D51D6" w14:textId="77777777" w:rsidR="00BF11F0" w:rsidRDefault="00BF11F0" w:rsidP="00436D14">
      <w:pPr>
        <w:spacing w:line="360" w:lineRule="auto"/>
        <w:jc w:val="both"/>
        <w:rPr>
          <w:rFonts w:ascii="Palatino Linotype" w:hAnsi="Palatino Linotype" w:cs="Arial"/>
        </w:rPr>
      </w:pPr>
    </w:p>
    <w:p w14:paraId="19A66ABD" w14:textId="77777777" w:rsidR="00436D14" w:rsidRDefault="00436D14" w:rsidP="00436D14">
      <w:pPr>
        <w:spacing w:line="360" w:lineRule="auto"/>
        <w:jc w:val="both"/>
        <w:rPr>
          <w:rFonts w:ascii="Palatino Linotype" w:hAnsi="Palatino Linotype" w:cs="Arial"/>
        </w:rPr>
      </w:pPr>
    </w:p>
    <w:p w14:paraId="103CBFC8" w14:textId="77777777" w:rsidR="00AC7F39" w:rsidRDefault="00AC7F39" w:rsidP="00436D14">
      <w:pPr>
        <w:spacing w:line="360" w:lineRule="auto"/>
        <w:jc w:val="both"/>
        <w:rPr>
          <w:rFonts w:ascii="Palatino Linotype" w:hAnsi="Palatino Linotype" w:cs="Arial"/>
        </w:rPr>
      </w:pPr>
    </w:p>
    <w:p w14:paraId="67F206FB" w14:textId="77777777" w:rsidR="00AC7F39" w:rsidRDefault="00AC7F39" w:rsidP="00436D14">
      <w:pPr>
        <w:spacing w:line="360" w:lineRule="auto"/>
        <w:jc w:val="both"/>
        <w:rPr>
          <w:rFonts w:ascii="Palatino Linotype" w:hAnsi="Palatino Linotype" w:cs="Arial"/>
        </w:rPr>
      </w:pPr>
      <w:bookmarkStart w:id="0" w:name="_GoBack"/>
      <w:bookmarkEnd w:id="0"/>
    </w:p>
    <w:tbl>
      <w:tblPr>
        <w:tblW w:w="4393" w:type="dxa"/>
        <w:jc w:val="center"/>
        <w:tblLayout w:type="fixed"/>
        <w:tblLook w:val="04A0" w:firstRow="1" w:lastRow="0" w:firstColumn="1" w:lastColumn="0" w:noHBand="0" w:noVBand="1"/>
      </w:tblPr>
      <w:tblGrid>
        <w:gridCol w:w="4393"/>
      </w:tblGrid>
      <w:tr w:rsidR="00436D14" w:rsidRPr="001950C9" w14:paraId="5AAC6CF2" w14:textId="77777777" w:rsidTr="00E416A1">
        <w:trPr>
          <w:jc w:val="center"/>
        </w:trPr>
        <w:tc>
          <w:tcPr>
            <w:tcW w:w="4393" w:type="dxa"/>
          </w:tcPr>
          <w:p w14:paraId="20599A1F" w14:textId="77777777" w:rsidR="00436D14" w:rsidRPr="001950C9" w:rsidRDefault="00436D14" w:rsidP="00E416A1">
            <w:pPr>
              <w:jc w:val="center"/>
              <w:rPr>
                <w:rFonts w:ascii="Palatino Linotype" w:hAnsi="Palatino Linotype"/>
                <w:b/>
              </w:rPr>
            </w:pPr>
            <w:r w:rsidRPr="001950C9">
              <w:rPr>
                <w:rFonts w:ascii="Palatino Linotype" w:hAnsi="Palatino Linotype"/>
                <w:b/>
              </w:rPr>
              <w:t>EVA ABAID YAPUR</w:t>
            </w:r>
          </w:p>
          <w:p w14:paraId="24594858" w14:textId="77777777" w:rsidR="00436D14" w:rsidRDefault="00436D14" w:rsidP="00AC7F39">
            <w:pPr>
              <w:jc w:val="center"/>
              <w:rPr>
                <w:rFonts w:ascii="Palatino Linotype" w:hAnsi="Palatino Linotype"/>
                <w:b/>
              </w:rPr>
            </w:pPr>
            <w:r w:rsidRPr="001950C9">
              <w:rPr>
                <w:rFonts w:ascii="Palatino Linotype" w:hAnsi="Palatino Linotype"/>
                <w:b/>
              </w:rPr>
              <w:t>COMISIONADA</w:t>
            </w:r>
          </w:p>
          <w:p w14:paraId="78C28D1C" w14:textId="10391497" w:rsidR="00F8795E" w:rsidRPr="001950C9" w:rsidRDefault="00F8795E" w:rsidP="00AC7F39">
            <w:pPr>
              <w:jc w:val="center"/>
              <w:rPr>
                <w:rFonts w:ascii="Palatino Linotype" w:hAnsi="Palatino Linotype"/>
                <w:b/>
              </w:rPr>
            </w:pPr>
            <w:r>
              <w:rPr>
                <w:rFonts w:ascii="Palatino Linotype" w:hAnsi="Palatino Linotype" w:cs="Arial"/>
                <w:b/>
              </w:rPr>
              <w:t>(RÚBRICA)</w:t>
            </w:r>
          </w:p>
        </w:tc>
      </w:tr>
    </w:tbl>
    <w:p w14:paraId="23DC70D5" w14:textId="77777777" w:rsidR="00436D14" w:rsidRDefault="00436D14" w:rsidP="00436D14">
      <w:pPr>
        <w:spacing w:line="360" w:lineRule="auto"/>
        <w:jc w:val="both"/>
        <w:rPr>
          <w:rFonts w:ascii="Palatino Linotype" w:eastAsia="Calibri" w:hAnsi="Palatino Linotype" w:cs="Arial"/>
          <w:color w:val="000000" w:themeColor="text1"/>
          <w:sz w:val="20"/>
          <w:szCs w:val="20"/>
        </w:rPr>
      </w:pPr>
    </w:p>
    <w:p w14:paraId="7BF79B62" w14:textId="77777777" w:rsidR="00BF11F0" w:rsidRDefault="00BF11F0" w:rsidP="00436D14">
      <w:pPr>
        <w:spacing w:line="360" w:lineRule="auto"/>
        <w:jc w:val="both"/>
        <w:rPr>
          <w:rFonts w:ascii="Palatino Linotype" w:eastAsia="Calibri" w:hAnsi="Palatino Linotype" w:cs="Arial"/>
          <w:color w:val="000000" w:themeColor="text1"/>
          <w:sz w:val="20"/>
          <w:szCs w:val="20"/>
        </w:rPr>
      </w:pPr>
    </w:p>
    <w:p w14:paraId="397959EA" w14:textId="174B0050" w:rsidR="00436D14" w:rsidRDefault="00436D14" w:rsidP="00436D14">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Esta hoja corresponde a</w:t>
      </w:r>
      <w:r>
        <w:rPr>
          <w:rFonts w:ascii="Palatino Linotype" w:eastAsia="Calibri" w:hAnsi="Palatino Linotype" w:cs="Arial"/>
          <w:color w:val="000000" w:themeColor="text1"/>
          <w:sz w:val="20"/>
          <w:szCs w:val="20"/>
        </w:rPr>
        <w:t xml:space="preserve"> </w:t>
      </w:r>
      <w:r w:rsidRPr="001950C9">
        <w:rPr>
          <w:rFonts w:ascii="Palatino Linotype" w:eastAsia="Calibri" w:hAnsi="Palatino Linotype" w:cs="Arial"/>
          <w:color w:val="000000" w:themeColor="text1"/>
          <w:sz w:val="20"/>
          <w:szCs w:val="20"/>
        </w:rPr>
        <w:t>l</w:t>
      </w:r>
      <w:r>
        <w:rPr>
          <w:rFonts w:ascii="Palatino Linotype" w:eastAsia="Calibri" w:hAnsi="Palatino Linotype" w:cs="Arial"/>
          <w:color w:val="000000" w:themeColor="text1"/>
          <w:sz w:val="20"/>
          <w:szCs w:val="20"/>
        </w:rPr>
        <w:t>a</w:t>
      </w:r>
      <w:r w:rsidRPr="001950C9">
        <w:rPr>
          <w:rFonts w:ascii="Palatino Linotype" w:eastAsia="Calibri" w:hAnsi="Palatino Linotype" w:cs="Arial"/>
          <w:color w:val="000000" w:themeColor="text1"/>
          <w:sz w:val="20"/>
          <w:szCs w:val="20"/>
        </w:rPr>
        <w:t xml:space="preserve"> </w:t>
      </w:r>
      <w:r>
        <w:rPr>
          <w:rFonts w:ascii="Palatino Linotype" w:eastAsia="Calibri" w:hAnsi="Palatino Linotype" w:cs="Arial"/>
          <w:color w:val="000000" w:themeColor="text1"/>
          <w:sz w:val="20"/>
          <w:szCs w:val="20"/>
        </w:rPr>
        <w:t>opinión</w:t>
      </w:r>
      <w:r w:rsidRPr="001950C9">
        <w:rPr>
          <w:rFonts w:ascii="Palatino Linotype" w:eastAsia="Calibri" w:hAnsi="Palatino Linotype" w:cs="Arial"/>
          <w:color w:val="000000" w:themeColor="text1"/>
          <w:sz w:val="20"/>
          <w:szCs w:val="20"/>
        </w:rPr>
        <w:t xml:space="preserve"> particular emitid</w:t>
      </w:r>
      <w:r w:rsidR="00BF11F0">
        <w:rPr>
          <w:rFonts w:ascii="Palatino Linotype" w:eastAsia="Calibri" w:hAnsi="Palatino Linotype" w:cs="Arial"/>
          <w:color w:val="000000" w:themeColor="text1"/>
          <w:sz w:val="20"/>
          <w:szCs w:val="20"/>
        </w:rPr>
        <w:t>a</w:t>
      </w:r>
      <w:r w:rsidRPr="001950C9">
        <w:rPr>
          <w:rFonts w:ascii="Palatino Linotype" w:eastAsia="Calibri" w:hAnsi="Palatino Linotype" w:cs="Arial"/>
          <w:color w:val="000000" w:themeColor="text1"/>
          <w:sz w:val="20"/>
          <w:szCs w:val="20"/>
        </w:rPr>
        <w:t xml:space="preserve"> en</w:t>
      </w:r>
      <w:r w:rsidR="00AC7F39">
        <w:rPr>
          <w:rFonts w:ascii="Palatino Linotype" w:eastAsia="Calibri" w:hAnsi="Palatino Linotype" w:cs="Arial"/>
          <w:color w:val="000000" w:themeColor="text1"/>
          <w:sz w:val="20"/>
          <w:szCs w:val="20"/>
        </w:rPr>
        <w:t xml:space="preserve"> la resolución</w:t>
      </w:r>
      <w:r w:rsidRPr="001950C9">
        <w:rPr>
          <w:rFonts w:ascii="Palatino Linotype" w:eastAsia="Calibri" w:hAnsi="Palatino Linotype" w:cs="Arial"/>
          <w:color w:val="000000" w:themeColor="text1"/>
          <w:sz w:val="20"/>
          <w:szCs w:val="20"/>
        </w:rPr>
        <w:t xml:space="preserve"> </w:t>
      </w:r>
      <w:r w:rsidR="00AC7F39">
        <w:rPr>
          <w:rFonts w:ascii="Palatino Linotype" w:eastAsia="Calibri" w:hAnsi="Palatino Linotype" w:cs="Arial"/>
          <w:color w:val="000000" w:themeColor="text1"/>
          <w:sz w:val="20"/>
          <w:szCs w:val="20"/>
        </w:rPr>
        <w:t>d</w:t>
      </w:r>
      <w:r w:rsidRPr="001950C9">
        <w:rPr>
          <w:rFonts w:ascii="Palatino Linotype" w:eastAsia="Calibri" w:hAnsi="Palatino Linotype" w:cs="Arial"/>
          <w:color w:val="000000" w:themeColor="text1"/>
          <w:sz w:val="20"/>
          <w:szCs w:val="20"/>
        </w:rPr>
        <w:t>el recurso de revisión 0</w:t>
      </w:r>
      <w:r w:rsidR="00BF11F0">
        <w:rPr>
          <w:rFonts w:ascii="Palatino Linotype" w:eastAsia="Calibri" w:hAnsi="Palatino Linotype" w:cs="Arial"/>
          <w:color w:val="000000" w:themeColor="text1"/>
          <w:sz w:val="20"/>
          <w:szCs w:val="20"/>
        </w:rPr>
        <w:t>3621</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w:t>
      </w:r>
      <w:r w:rsidR="00AC7F39">
        <w:rPr>
          <w:rFonts w:ascii="Palatino Linotype" w:eastAsia="Calibri" w:hAnsi="Palatino Linotype" w:cs="Arial"/>
          <w:color w:val="000000" w:themeColor="text1"/>
          <w:sz w:val="20"/>
          <w:szCs w:val="20"/>
        </w:rPr>
        <w:t>,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BF11F0">
        <w:rPr>
          <w:rFonts w:ascii="Palatino Linotype" w:eastAsia="Calibri" w:hAnsi="Palatino Linotype" w:cs="Arial"/>
          <w:color w:val="000000" w:themeColor="text1"/>
          <w:sz w:val="20"/>
          <w:szCs w:val="20"/>
        </w:rPr>
        <w:t>treinta y uno de octubre</w:t>
      </w:r>
      <w:r>
        <w:rPr>
          <w:rFonts w:ascii="Palatino Linotype" w:eastAsia="Calibri" w:hAnsi="Palatino Linotype" w:cs="Arial"/>
          <w:color w:val="000000" w:themeColor="text1"/>
          <w:sz w:val="20"/>
          <w:szCs w:val="20"/>
        </w:rPr>
        <w:t xml:space="preserve"> de 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14:paraId="3357B3D6" w14:textId="77777777" w:rsidR="00AC7F39" w:rsidRPr="00AC7F39" w:rsidRDefault="00AC7F39" w:rsidP="00436D14">
      <w:pPr>
        <w:jc w:val="both"/>
        <w:rPr>
          <w:rFonts w:ascii="Palatino Linotype" w:eastAsia="Calibri" w:hAnsi="Palatino Linotype" w:cs="Arial"/>
          <w:color w:val="000000" w:themeColor="text1"/>
          <w:sz w:val="6"/>
          <w:szCs w:val="20"/>
        </w:rPr>
      </w:pPr>
    </w:p>
    <w:p w14:paraId="5667B012" w14:textId="4B02AEFD" w:rsidR="00CD311D" w:rsidRPr="007B1231" w:rsidRDefault="00436D14" w:rsidP="007B1231">
      <w:pPr>
        <w:jc w:val="both"/>
        <w:rPr>
          <w:rFonts w:ascii="Palatino Linotype" w:eastAsia="Calibri" w:hAnsi="Palatino Linotype" w:cs="Arial"/>
          <w:color w:val="000000" w:themeColor="text1"/>
          <w:sz w:val="22"/>
        </w:rPr>
      </w:pPr>
      <w:r w:rsidRPr="00C60EC0">
        <w:rPr>
          <w:rFonts w:ascii="Palatino Linotype" w:eastAsia="Calibri" w:hAnsi="Palatino Linotype" w:cs="Arial"/>
          <w:color w:val="000000" w:themeColor="text1"/>
          <w:sz w:val="18"/>
          <w:szCs w:val="18"/>
        </w:rPr>
        <w:t>YSM/</w:t>
      </w:r>
      <w:r w:rsidR="00BF11F0">
        <w:rPr>
          <w:rFonts w:ascii="Palatino Linotype" w:eastAsia="Calibri" w:hAnsi="Palatino Linotype" w:cs="Arial"/>
          <w:color w:val="000000" w:themeColor="text1"/>
          <w:sz w:val="18"/>
          <w:szCs w:val="18"/>
        </w:rPr>
        <w:t>ATU</w:t>
      </w:r>
    </w:p>
    <w:sectPr w:rsidR="00CD311D" w:rsidRPr="007B1231" w:rsidSect="00264F64">
      <w:headerReference w:type="even" r:id="rId10"/>
      <w:headerReference w:type="default" r:id="rId11"/>
      <w:footerReference w:type="default" r:id="rId12"/>
      <w:head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6A079" w14:textId="77777777" w:rsidR="00DB5237" w:rsidRDefault="00DB5237" w:rsidP="00C80F8C">
      <w:r>
        <w:separator/>
      </w:r>
    </w:p>
  </w:endnote>
  <w:endnote w:type="continuationSeparator" w:id="0">
    <w:p w14:paraId="59744B8E" w14:textId="77777777" w:rsidR="00DB5237" w:rsidRDefault="00DB523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40BE79D6"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8795E">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8795E">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486BC" w14:textId="77777777" w:rsidR="00DB5237" w:rsidRDefault="00DB5237" w:rsidP="00C80F8C">
      <w:r>
        <w:separator/>
      </w:r>
    </w:p>
  </w:footnote>
  <w:footnote w:type="continuationSeparator" w:id="0">
    <w:p w14:paraId="6F0B6F36" w14:textId="77777777" w:rsidR="00DB5237" w:rsidRDefault="00DB523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F8795E">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4144;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31F69CFA"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2A1CF7EC">
          <wp:simplePos x="0" y="0"/>
          <wp:positionH relativeFrom="column">
            <wp:posOffset>-669925</wp:posOffset>
          </wp:positionH>
          <wp:positionV relativeFrom="paragraph">
            <wp:posOffset>-347980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7B61D73" w14:textId="0C8E5779" w:rsidR="0034309A" w:rsidRDefault="00323C78" w:rsidP="007F1C25">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OPINIÓN</w:t>
    </w:r>
    <w:r w:rsidR="0034309A" w:rsidRPr="006F01F2">
      <w:rPr>
        <w:rFonts w:ascii="Palatino Linotype" w:hAnsi="Palatino Linotype" w:cs="Arial"/>
        <w:sz w:val="20"/>
        <w:szCs w:val="20"/>
      </w:rPr>
      <w:t xml:space="preserve"> PARTICULAR</w:t>
    </w:r>
  </w:p>
  <w:p w14:paraId="71104997" w14:textId="482AD4C3" w:rsidR="00634485" w:rsidRDefault="0034309A" w:rsidP="007F1C25">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436D14">
      <w:rPr>
        <w:rFonts w:ascii="Palatino Linotype" w:hAnsi="Palatino Linotype" w:cs="Arial"/>
        <w:sz w:val="20"/>
        <w:szCs w:val="20"/>
      </w:rPr>
      <w:t>0</w:t>
    </w:r>
    <w:r w:rsidR="00C76B4A">
      <w:rPr>
        <w:rFonts w:ascii="Palatino Linotype" w:hAnsi="Palatino Linotype" w:cs="Arial"/>
        <w:sz w:val="20"/>
        <w:szCs w:val="20"/>
      </w:rPr>
      <w:t>3621</w:t>
    </w:r>
    <w:r w:rsidR="00436D14">
      <w:rPr>
        <w:rFonts w:ascii="Palatino Linotype" w:hAnsi="Palatino Linotype" w:cs="Arial"/>
        <w:sz w:val="20"/>
        <w:szCs w:val="20"/>
      </w:rPr>
      <w:t>/INFOEM/IP/RR/2018</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333995A2" w14:textId="5CF0FDDB" w:rsidR="0030072F" w:rsidRDefault="00F8795E"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left:0;text-align:left;margin-left:0;margin-top:0;width:648.75pt;height:73.05pt;rotation:315;z-index:-251652096;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F8795E">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3512"/>
    <w:multiLevelType w:val="hybridMultilevel"/>
    <w:tmpl w:val="9FB6B2A4"/>
    <w:lvl w:ilvl="0" w:tplc="2D600914">
      <w:start w:val="2"/>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213023"/>
    <w:multiLevelType w:val="hybridMultilevel"/>
    <w:tmpl w:val="4B184BB8"/>
    <w:lvl w:ilvl="0" w:tplc="5518CB06">
      <w:start w:val="1"/>
      <w:numFmt w:val="lowerLetter"/>
      <w:lvlText w:val="%1)"/>
      <w:lvlJc w:val="left"/>
      <w:pPr>
        <w:ind w:left="1353" w:hanging="360"/>
      </w:pPr>
      <w:rPr>
        <w:rFonts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74E8F"/>
    <w:multiLevelType w:val="hybridMultilevel"/>
    <w:tmpl w:val="0922B0EE"/>
    <w:lvl w:ilvl="0" w:tplc="1EDA1792">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C73055"/>
    <w:multiLevelType w:val="hybridMultilevel"/>
    <w:tmpl w:val="84702094"/>
    <w:lvl w:ilvl="0" w:tplc="B5669BD4">
      <w:start w:val="1"/>
      <w:numFmt w:val="upperRoman"/>
      <w:lvlText w:val="%1."/>
      <w:lvlJc w:val="left"/>
      <w:pPr>
        <w:ind w:left="1571" w:hanging="72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6821CBA"/>
    <w:multiLevelType w:val="hybridMultilevel"/>
    <w:tmpl w:val="6ED08D56"/>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8">
    <w:nsid w:val="24E47D76"/>
    <w:multiLevelType w:val="hybridMultilevel"/>
    <w:tmpl w:val="14C87EC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944185"/>
    <w:multiLevelType w:val="hybridMultilevel"/>
    <w:tmpl w:val="8BB423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35E37C6E"/>
    <w:multiLevelType w:val="hybridMultilevel"/>
    <w:tmpl w:val="7B3C2548"/>
    <w:lvl w:ilvl="0" w:tplc="B9988EA2">
      <w:start w:val="1"/>
      <w:numFmt w:val="upperRoman"/>
      <w:lvlText w:val="%1."/>
      <w:lvlJc w:val="left"/>
      <w:pPr>
        <w:ind w:left="2150" w:hanging="720"/>
      </w:pPr>
      <w:rPr>
        <w:rFonts w:hint="default"/>
        <w:b/>
      </w:rPr>
    </w:lvl>
    <w:lvl w:ilvl="1" w:tplc="080A0019" w:tentative="1">
      <w:start w:val="1"/>
      <w:numFmt w:val="lowerLetter"/>
      <w:lvlText w:val="%2."/>
      <w:lvlJc w:val="left"/>
      <w:pPr>
        <w:ind w:left="2510" w:hanging="360"/>
      </w:pPr>
    </w:lvl>
    <w:lvl w:ilvl="2" w:tplc="080A001B" w:tentative="1">
      <w:start w:val="1"/>
      <w:numFmt w:val="lowerRoman"/>
      <w:lvlText w:val="%3."/>
      <w:lvlJc w:val="right"/>
      <w:pPr>
        <w:ind w:left="3230" w:hanging="180"/>
      </w:pPr>
    </w:lvl>
    <w:lvl w:ilvl="3" w:tplc="080A000F" w:tentative="1">
      <w:start w:val="1"/>
      <w:numFmt w:val="decimal"/>
      <w:lvlText w:val="%4."/>
      <w:lvlJc w:val="left"/>
      <w:pPr>
        <w:ind w:left="3950" w:hanging="360"/>
      </w:pPr>
    </w:lvl>
    <w:lvl w:ilvl="4" w:tplc="080A0019" w:tentative="1">
      <w:start w:val="1"/>
      <w:numFmt w:val="lowerLetter"/>
      <w:lvlText w:val="%5."/>
      <w:lvlJc w:val="left"/>
      <w:pPr>
        <w:ind w:left="4670" w:hanging="360"/>
      </w:pPr>
    </w:lvl>
    <w:lvl w:ilvl="5" w:tplc="080A001B" w:tentative="1">
      <w:start w:val="1"/>
      <w:numFmt w:val="lowerRoman"/>
      <w:lvlText w:val="%6."/>
      <w:lvlJc w:val="right"/>
      <w:pPr>
        <w:ind w:left="5390" w:hanging="180"/>
      </w:pPr>
    </w:lvl>
    <w:lvl w:ilvl="6" w:tplc="080A000F" w:tentative="1">
      <w:start w:val="1"/>
      <w:numFmt w:val="decimal"/>
      <w:lvlText w:val="%7."/>
      <w:lvlJc w:val="left"/>
      <w:pPr>
        <w:ind w:left="6110" w:hanging="360"/>
      </w:pPr>
    </w:lvl>
    <w:lvl w:ilvl="7" w:tplc="080A0019" w:tentative="1">
      <w:start w:val="1"/>
      <w:numFmt w:val="lowerLetter"/>
      <w:lvlText w:val="%8."/>
      <w:lvlJc w:val="left"/>
      <w:pPr>
        <w:ind w:left="6830" w:hanging="360"/>
      </w:pPr>
    </w:lvl>
    <w:lvl w:ilvl="8" w:tplc="080A001B" w:tentative="1">
      <w:start w:val="1"/>
      <w:numFmt w:val="lowerRoman"/>
      <w:lvlText w:val="%9."/>
      <w:lvlJc w:val="right"/>
      <w:pPr>
        <w:ind w:left="7550" w:hanging="180"/>
      </w:pPr>
    </w:lvl>
  </w:abstractNum>
  <w:abstractNum w:abstractNumId="12">
    <w:nsid w:val="37782704"/>
    <w:multiLevelType w:val="hybridMultilevel"/>
    <w:tmpl w:val="1834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39A73C3"/>
    <w:multiLevelType w:val="hybridMultilevel"/>
    <w:tmpl w:val="54EEB2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996C86"/>
    <w:multiLevelType w:val="hybridMultilevel"/>
    <w:tmpl w:val="0BA03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B0A2D1E"/>
    <w:multiLevelType w:val="hybridMultilevel"/>
    <w:tmpl w:val="728E18CC"/>
    <w:lvl w:ilvl="0" w:tplc="172EBC7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8">
    <w:nsid w:val="6E837673"/>
    <w:multiLevelType w:val="hybridMultilevel"/>
    <w:tmpl w:val="88104314"/>
    <w:lvl w:ilvl="0" w:tplc="080A0001">
      <w:start w:val="1"/>
      <w:numFmt w:val="bullet"/>
      <w:lvlText w:val=""/>
      <w:lvlJc w:val="left"/>
      <w:pPr>
        <w:ind w:left="360" w:hanging="360"/>
      </w:pPr>
      <w:rPr>
        <w:rFonts w:ascii="Symbol" w:hAnsi="Symbol" w:hint="default"/>
      </w:rPr>
    </w:lvl>
    <w:lvl w:ilvl="1" w:tplc="080A000F">
      <w:start w:val="1"/>
      <w:numFmt w:val="decimal"/>
      <w:lvlText w:val="%2."/>
      <w:lvlJc w:val="left"/>
      <w:pPr>
        <w:ind w:left="1080" w:hanging="360"/>
      </w:pPr>
      <w:rPr>
        <w:rFont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3"/>
  </w:num>
  <w:num w:numId="4">
    <w:abstractNumId w:val="2"/>
  </w:num>
  <w:num w:numId="5">
    <w:abstractNumId w:val="16"/>
  </w:num>
  <w:num w:numId="6">
    <w:abstractNumId w:val="14"/>
  </w:num>
  <w:num w:numId="7">
    <w:abstractNumId w:val="1"/>
  </w:num>
  <w:num w:numId="8">
    <w:abstractNumId w:val="9"/>
  </w:num>
  <w:num w:numId="9">
    <w:abstractNumId w:val="12"/>
  </w:num>
  <w:num w:numId="10">
    <w:abstractNumId w:val="8"/>
  </w:num>
  <w:num w:numId="11">
    <w:abstractNumId w:val="17"/>
  </w:num>
  <w:num w:numId="12">
    <w:abstractNumId w:val="6"/>
  </w:num>
  <w:num w:numId="13">
    <w:abstractNumId w:val="1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
  </w:num>
  <w:num w:numId="17">
    <w:abstractNumId w:val="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2FFC"/>
    <w:rsid w:val="00055107"/>
    <w:rsid w:val="0006079D"/>
    <w:rsid w:val="00070325"/>
    <w:rsid w:val="0007653D"/>
    <w:rsid w:val="00082101"/>
    <w:rsid w:val="0008542A"/>
    <w:rsid w:val="0008745A"/>
    <w:rsid w:val="00092678"/>
    <w:rsid w:val="00095B30"/>
    <w:rsid w:val="00095F2F"/>
    <w:rsid w:val="000A4C89"/>
    <w:rsid w:val="000B3FFD"/>
    <w:rsid w:val="000B6BFB"/>
    <w:rsid w:val="000C4453"/>
    <w:rsid w:val="000D136C"/>
    <w:rsid w:val="000D66DE"/>
    <w:rsid w:val="000E2B1A"/>
    <w:rsid w:val="000E4C17"/>
    <w:rsid w:val="00102EEC"/>
    <w:rsid w:val="0010583C"/>
    <w:rsid w:val="001059D0"/>
    <w:rsid w:val="00115C54"/>
    <w:rsid w:val="00117749"/>
    <w:rsid w:val="00123644"/>
    <w:rsid w:val="00136CF7"/>
    <w:rsid w:val="0013735C"/>
    <w:rsid w:val="00137CA1"/>
    <w:rsid w:val="00140058"/>
    <w:rsid w:val="00145492"/>
    <w:rsid w:val="0015435D"/>
    <w:rsid w:val="00175DEE"/>
    <w:rsid w:val="001768C5"/>
    <w:rsid w:val="00177CD8"/>
    <w:rsid w:val="0018441E"/>
    <w:rsid w:val="00187FFD"/>
    <w:rsid w:val="001950C9"/>
    <w:rsid w:val="001A5351"/>
    <w:rsid w:val="001A58CF"/>
    <w:rsid w:val="001D1601"/>
    <w:rsid w:val="001E757E"/>
    <w:rsid w:val="001E763C"/>
    <w:rsid w:val="00202137"/>
    <w:rsid w:val="002314AA"/>
    <w:rsid w:val="0023504D"/>
    <w:rsid w:val="002367F0"/>
    <w:rsid w:val="00237A37"/>
    <w:rsid w:val="0024119C"/>
    <w:rsid w:val="002473C6"/>
    <w:rsid w:val="0025202C"/>
    <w:rsid w:val="002562CC"/>
    <w:rsid w:val="00264F64"/>
    <w:rsid w:val="002940F8"/>
    <w:rsid w:val="002A50EF"/>
    <w:rsid w:val="002B0DA6"/>
    <w:rsid w:val="002B7856"/>
    <w:rsid w:val="002C3476"/>
    <w:rsid w:val="002D3BBD"/>
    <w:rsid w:val="002D4526"/>
    <w:rsid w:val="002D69E1"/>
    <w:rsid w:val="002D72E2"/>
    <w:rsid w:val="002E3BEA"/>
    <w:rsid w:val="002E5711"/>
    <w:rsid w:val="0030072F"/>
    <w:rsid w:val="00304303"/>
    <w:rsid w:val="00305065"/>
    <w:rsid w:val="003056D9"/>
    <w:rsid w:val="003102FA"/>
    <w:rsid w:val="00321947"/>
    <w:rsid w:val="00323C78"/>
    <w:rsid w:val="00334249"/>
    <w:rsid w:val="0034309A"/>
    <w:rsid w:val="00351129"/>
    <w:rsid w:val="0037279D"/>
    <w:rsid w:val="0037321B"/>
    <w:rsid w:val="00397910"/>
    <w:rsid w:val="003A6F70"/>
    <w:rsid w:val="003C23BE"/>
    <w:rsid w:val="003C28FC"/>
    <w:rsid w:val="003C2D10"/>
    <w:rsid w:val="003C7226"/>
    <w:rsid w:val="003D1C14"/>
    <w:rsid w:val="003E00BF"/>
    <w:rsid w:val="003F4C9C"/>
    <w:rsid w:val="00410D1F"/>
    <w:rsid w:val="004132A6"/>
    <w:rsid w:val="00414E48"/>
    <w:rsid w:val="00414E7B"/>
    <w:rsid w:val="004179B7"/>
    <w:rsid w:val="004315BB"/>
    <w:rsid w:val="00436D14"/>
    <w:rsid w:val="0044271B"/>
    <w:rsid w:val="00443646"/>
    <w:rsid w:val="0044475B"/>
    <w:rsid w:val="00455CB3"/>
    <w:rsid w:val="00464462"/>
    <w:rsid w:val="004661D2"/>
    <w:rsid w:val="004776FF"/>
    <w:rsid w:val="004B7325"/>
    <w:rsid w:val="004C40EA"/>
    <w:rsid w:val="004C64D9"/>
    <w:rsid w:val="004D0A26"/>
    <w:rsid w:val="00500FFD"/>
    <w:rsid w:val="00516914"/>
    <w:rsid w:val="005236B6"/>
    <w:rsid w:val="00530548"/>
    <w:rsid w:val="005318AB"/>
    <w:rsid w:val="005321E3"/>
    <w:rsid w:val="00537080"/>
    <w:rsid w:val="00562649"/>
    <w:rsid w:val="00575235"/>
    <w:rsid w:val="0058067E"/>
    <w:rsid w:val="0058639E"/>
    <w:rsid w:val="005870DF"/>
    <w:rsid w:val="005937C3"/>
    <w:rsid w:val="005B773B"/>
    <w:rsid w:val="005C66D4"/>
    <w:rsid w:val="005D14C4"/>
    <w:rsid w:val="005D1946"/>
    <w:rsid w:val="005D2C85"/>
    <w:rsid w:val="005E0610"/>
    <w:rsid w:val="00612544"/>
    <w:rsid w:val="00623E10"/>
    <w:rsid w:val="00634485"/>
    <w:rsid w:val="00636B4A"/>
    <w:rsid w:val="00646A97"/>
    <w:rsid w:val="00672211"/>
    <w:rsid w:val="0067530B"/>
    <w:rsid w:val="006824EF"/>
    <w:rsid w:val="00683443"/>
    <w:rsid w:val="00684492"/>
    <w:rsid w:val="00694EB3"/>
    <w:rsid w:val="006967D4"/>
    <w:rsid w:val="006A496D"/>
    <w:rsid w:val="006C0991"/>
    <w:rsid w:val="006C33BB"/>
    <w:rsid w:val="006D55AC"/>
    <w:rsid w:val="006E6389"/>
    <w:rsid w:val="006F1F0F"/>
    <w:rsid w:val="006F30F8"/>
    <w:rsid w:val="006F6AD0"/>
    <w:rsid w:val="00703ACA"/>
    <w:rsid w:val="00712BC2"/>
    <w:rsid w:val="0071346B"/>
    <w:rsid w:val="00721966"/>
    <w:rsid w:val="00724599"/>
    <w:rsid w:val="007302DE"/>
    <w:rsid w:val="00736C06"/>
    <w:rsid w:val="007378FE"/>
    <w:rsid w:val="007416E3"/>
    <w:rsid w:val="00742010"/>
    <w:rsid w:val="00753108"/>
    <w:rsid w:val="007541AF"/>
    <w:rsid w:val="00772360"/>
    <w:rsid w:val="007A4AB6"/>
    <w:rsid w:val="007B1231"/>
    <w:rsid w:val="007B6E55"/>
    <w:rsid w:val="007C0FDA"/>
    <w:rsid w:val="007C3C0E"/>
    <w:rsid w:val="007C7551"/>
    <w:rsid w:val="007D07CC"/>
    <w:rsid w:val="007D0FEE"/>
    <w:rsid w:val="007D29A5"/>
    <w:rsid w:val="007E545F"/>
    <w:rsid w:val="007F1C25"/>
    <w:rsid w:val="007F3CD0"/>
    <w:rsid w:val="007F59D5"/>
    <w:rsid w:val="008217CD"/>
    <w:rsid w:val="00832A39"/>
    <w:rsid w:val="00846A21"/>
    <w:rsid w:val="00875BCA"/>
    <w:rsid w:val="00875BD4"/>
    <w:rsid w:val="00880281"/>
    <w:rsid w:val="00884669"/>
    <w:rsid w:val="00892AFC"/>
    <w:rsid w:val="008A52BF"/>
    <w:rsid w:val="008C0700"/>
    <w:rsid w:val="008C0C70"/>
    <w:rsid w:val="008C17F2"/>
    <w:rsid w:val="008D1526"/>
    <w:rsid w:val="008D584A"/>
    <w:rsid w:val="00926A92"/>
    <w:rsid w:val="0093343E"/>
    <w:rsid w:val="00953EC8"/>
    <w:rsid w:val="00966E59"/>
    <w:rsid w:val="009754EC"/>
    <w:rsid w:val="00975666"/>
    <w:rsid w:val="00975AA3"/>
    <w:rsid w:val="00975EB9"/>
    <w:rsid w:val="009773AF"/>
    <w:rsid w:val="00982F97"/>
    <w:rsid w:val="00986740"/>
    <w:rsid w:val="009A271C"/>
    <w:rsid w:val="009A67F5"/>
    <w:rsid w:val="009B26A2"/>
    <w:rsid w:val="009B56BC"/>
    <w:rsid w:val="009B65F4"/>
    <w:rsid w:val="009C2F32"/>
    <w:rsid w:val="009C46BF"/>
    <w:rsid w:val="009D63A9"/>
    <w:rsid w:val="009E053A"/>
    <w:rsid w:val="009E5EDA"/>
    <w:rsid w:val="009F4491"/>
    <w:rsid w:val="00A032F1"/>
    <w:rsid w:val="00A04C79"/>
    <w:rsid w:val="00A14B1D"/>
    <w:rsid w:val="00A15CC3"/>
    <w:rsid w:val="00A40057"/>
    <w:rsid w:val="00A4593D"/>
    <w:rsid w:val="00A53958"/>
    <w:rsid w:val="00A5532D"/>
    <w:rsid w:val="00A60D1E"/>
    <w:rsid w:val="00A6649D"/>
    <w:rsid w:val="00A7039C"/>
    <w:rsid w:val="00A81140"/>
    <w:rsid w:val="00A824CA"/>
    <w:rsid w:val="00A91735"/>
    <w:rsid w:val="00AB21DA"/>
    <w:rsid w:val="00AB400C"/>
    <w:rsid w:val="00AC248E"/>
    <w:rsid w:val="00AC3F99"/>
    <w:rsid w:val="00AC7F39"/>
    <w:rsid w:val="00AD6AAD"/>
    <w:rsid w:val="00AE2B18"/>
    <w:rsid w:val="00AE40F0"/>
    <w:rsid w:val="00AF0B38"/>
    <w:rsid w:val="00AF3F82"/>
    <w:rsid w:val="00B132CE"/>
    <w:rsid w:val="00B151A8"/>
    <w:rsid w:val="00B27BE5"/>
    <w:rsid w:val="00B27F2D"/>
    <w:rsid w:val="00B337A5"/>
    <w:rsid w:val="00B33ED0"/>
    <w:rsid w:val="00B35A45"/>
    <w:rsid w:val="00B4641E"/>
    <w:rsid w:val="00B46E78"/>
    <w:rsid w:val="00B5072E"/>
    <w:rsid w:val="00B53290"/>
    <w:rsid w:val="00B57FE6"/>
    <w:rsid w:val="00B64C77"/>
    <w:rsid w:val="00B650A8"/>
    <w:rsid w:val="00B80485"/>
    <w:rsid w:val="00B95BF7"/>
    <w:rsid w:val="00BA3108"/>
    <w:rsid w:val="00BC5D71"/>
    <w:rsid w:val="00BD7483"/>
    <w:rsid w:val="00BE56A5"/>
    <w:rsid w:val="00BF11F0"/>
    <w:rsid w:val="00BF4B83"/>
    <w:rsid w:val="00BF5A25"/>
    <w:rsid w:val="00C03924"/>
    <w:rsid w:val="00C1644D"/>
    <w:rsid w:val="00C30621"/>
    <w:rsid w:val="00C307F0"/>
    <w:rsid w:val="00C4493E"/>
    <w:rsid w:val="00C71FC9"/>
    <w:rsid w:val="00C766EF"/>
    <w:rsid w:val="00C76B4A"/>
    <w:rsid w:val="00C80F8C"/>
    <w:rsid w:val="00C934CD"/>
    <w:rsid w:val="00CA047D"/>
    <w:rsid w:val="00CB4AA5"/>
    <w:rsid w:val="00CC1869"/>
    <w:rsid w:val="00CC5EAB"/>
    <w:rsid w:val="00CD311D"/>
    <w:rsid w:val="00CF021E"/>
    <w:rsid w:val="00CF30E8"/>
    <w:rsid w:val="00D01B99"/>
    <w:rsid w:val="00D22D87"/>
    <w:rsid w:val="00D30624"/>
    <w:rsid w:val="00D3189D"/>
    <w:rsid w:val="00D403FF"/>
    <w:rsid w:val="00D46C00"/>
    <w:rsid w:val="00D526D7"/>
    <w:rsid w:val="00D557C2"/>
    <w:rsid w:val="00D64F32"/>
    <w:rsid w:val="00D802AF"/>
    <w:rsid w:val="00D97494"/>
    <w:rsid w:val="00DA5209"/>
    <w:rsid w:val="00DB5237"/>
    <w:rsid w:val="00DD6A6C"/>
    <w:rsid w:val="00E025A3"/>
    <w:rsid w:val="00E10A96"/>
    <w:rsid w:val="00E146AA"/>
    <w:rsid w:val="00E27F2A"/>
    <w:rsid w:val="00E42755"/>
    <w:rsid w:val="00E43B8E"/>
    <w:rsid w:val="00E45B76"/>
    <w:rsid w:val="00E46383"/>
    <w:rsid w:val="00E50E30"/>
    <w:rsid w:val="00E534E1"/>
    <w:rsid w:val="00E76ECF"/>
    <w:rsid w:val="00E8209A"/>
    <w:rsid w:val="00E83E8C"/>
    <w:rsid w:val="00EA27CB"/>
    <w:rsid w:val="00EA5EEB"/>
    <w:rsid w:val="00EA7874"/>
    <w:rsid w:val="00EB07CC"/>
    <w:rsid w:val="00EB7480"/>
    <w:rsid w:val="00EB7DE6"/>
    <w:rsid w:val="00EB7F1A"/>
    <w:rsid w:val="00EC0002"/>
    <w:rsid w:val="00ED5EE9"/>
    <w:rsid w:val="00F06505"/>
    <w:rsid w:val="00F1277E"/>
    <w:rsid w:val="00F33D39"/>
    <w:rsid w:val="00F36CDE"/>
    <w:rsid w:val="00F44E84"/>
    <w:rsid w:val="00F548A9"/>
    <w:rsid w:val="00F54D8B"/>
    <w:rsid w:val="00F65E4C"/>
    <w:rsid w:val="00F85381"/>
    <w:rsid w:val="00F8795E"/>
    <w:rsid w:val="00F9624E"/>
    <w:rsid w:val="00FA52BB"/>
    <w:rsid w:val="00FA6221"/>
    <w:rsid w:val="00FB481F"/>
    <w:rsid w:val="00FB48D6"/>
    <w:rsid w:val="00FC519B"/>
    <w:rsid w:val="00FE7408"/>
    <w:rsid w:val="00FF1A50"/>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paragraph" w:styleId="NormalWeb">
    <w:name w:val="Normal (Web)"/>
    <w:basedOn w:val="Normal"/>
    <w:uiPriority w:val="99"/>
    <w:unhideWhenUsed/>
    <w:rsid w:val="00E534E1"/>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34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34E1"/>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534E1"/>
    <w:rPr>
      <w:vertAlign w:val="superscript"/>
    </w:rPr>
  </w:style>
  <w:style w:type="character" w:styleId="Refdecomentario">
    <w:name w:val="annotation reference"/>
    <w:basedOn w:val="Fuentedeprrafopredeter"/>
    <w:uiPriority w:val="99"/>
    <w:semiHidden/>
    <w:unhideWhenUsed/>
    <w:rsid w:val="00703ACA"/>
    <w:rPr>
      <w:sz w:val="16"/>
      <w:szCs w:val="16"/>
    </w:rPr>
  </w:style>
  <w:style w:type="paragraph" w:styleId="Textocomentario">
    <w:name w:val="annotation text"/>
    <w:basedOn w:val="Normal"/>
    <w:link w:val="TextocomentarioCar"/>
    <w:uiPriority w:val="99"/>
    <w:semiHidden/>
    <w:unhideWhenUsed/>
    <w:rsid w:val="00703ACA"/>
    <w:rPr>
      <w:sz w:val="20"/>
      <w:szCs w:val="20"/>
    </w:rPr>
  </w:style>
  <w:style w:type="character" w:customStyle="1" w:styleId="TextocomentarioCar">
    <w:name w:val="Texto comentario Car"/>
    <w:basedOn w:val="Fuentedeprrafopredeter"/>
    <w:link w:val="Textocomentario"/>
    <w:uiPriority w:val="99"/>
    <w:semiHidden/>
    <w:rsid w:val="00703AC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703ACA"/>
    <w:rPr>
      <w:b/>
      <w:bCs/>
    </w:rPr>
  </w:style>
  <w:style w:type="character" w:customStyle="1" w:styleId="AsuntodelcomentarioCar">
    <w:name w:val="Asunto del comentario Car"/>
    <w:basedOn w:val="TextocomentarioCar"/>
    <w:link w:val="Asuntodelcomentario"/>
    <w:uiPriority w:val="99"/>
    <w:semiHidden/>
    <w:rsid w:val="00703ACA"/>
    <w:rPr>
      <w:rFonts w:ascii="Times New Roman" w:eastAsia="Times New Roman" w:hAnsi="Times New Roman" w:cs="Times New Roman"/>
      <w:b/>
      <w:bCs/>
      <w:sz w:val="20"/>
      <w:szCs w:val="20"/>
      <w:lang w:val="es-MX"/>
    </w:rPr>
  </w:style>
  <w:style w:type="table" w:styleId="Tablaconcuadrcula">
    <w:name w:val="Table Grid"/>
    <w:basedOn w:val="Tablanormal"/>
    <w:uiPriority w:val="59"/>
    <w:rsid w:val="00F33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17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52F53-290D-4C1A-8229-EAA22F06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1854</Words>
  <Characters>10199</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2018-11-07T00:53:00Z</cp:lastPrinted>
  <dcterms:created xsi:type="dcterms:W3CDTF">2018-11-06T21:03:00Z</dcterms:created>
  <dcterms:modified xsi:type="dcterms:W3CDTF">2018-11-21T02:49:00Z</dcterms:modified>
</cp:coreProperties>
</file>